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jc w:val="left"/>
        <w:rPr>
          <w:rFonts w:hint="default" w:eastAsia="宋体"/>
          <w:b/>
          <w:sz w:val="20"/>
          <w:szCs w:val="20"/>
          <w:lang w:val="en-US" w:eastAsia="zh-CN"/>
        </w:rPr>
      </w:pPr>
      <w:bookmarkStart w:id="0" w:name="Title"/>
      <w:bookmarkEnd w:id="0"/>
      <w:bookmarkStart w:id="1" w:name="DocumentFor"/>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29bis</w:t>
      </w:r>
      <w:r>
        <w:rPr>
          <w:b/>
          <w:sz w:val="20"/>
          <w:szCs w:val="20"/>
        </w:rPr>
        <w:tab/>
      </w:r>
      <w:r>
        <w:rPr>
          <w:rFonts w:hint="eastAsia"/>
          <w:b/>
          <w:sz w:val="20"/>
          <w:szCs w:val="20"/>
        </w:rPr>
        <w:t>R2-2502701</w:t>
      </w:r>
      <w:bookmarkStart w:id="13" w:name="_GoBack"/>
      <w:bookmarkEnd w:id="13"/>
    </w:p>
    <w:p>
      <w:pPr>
        <w:pStyle w:val="56"/>
        <w:jc w:val="left"/>
        <w:rPr>
          <w:rFonts w:hint="eastAsia" w:cs="Arial"/>
          <w:sz w:val="20"/>
          <w:szCs w:val="20"/>
        </w:rPr>
      </w:pPr>
      <w:r>
        <w:rPr>
          <w:rFonts w:hint="eastAsia" w:cs="Arial"/>
          <w:sz w:val="20"/>
          <w:szCs w:val="20"/>
        </w:rPr>
        <w:t>Wuhan, China, Apr. 7</w:t>
      </w:r>
      <w:r>
        <w:rPr>
          <w:rFonts w:hint="eastAsia" w:cs="Arial"/>
          <w:sz w:val="20"/>
          <w:szCs w:val="20"/>
          <w:vertAlign w:val="superscript"/>
        </w:rPr>
        <w:t>t</w:t>
      </w:r>
      <w:r>
        <w:rPr>
          <w:rFonts w:hint="eastAsia" w:cs="Arial"/>
          <w:sz w:val="20"/>
          <w:szCs w:val="20"/>
        </w:rPr>
        <w:t>h – 11</w:t>
      </w:r>
      <w:r>
        <w:rPr>
          <w:rFonts w:hint="eastAsia" w:cs="Arial"/>
          <w:sz w:val="20"/>
          <w:szCs w:val="20"/>
          <w:vertAlign w:val="superscript"/>
        </w:rPr>
        <w:t>th</w:t>
      </w:r>
      <w:r>
        <w:rPr>
          <w:rFonts w:hint="eastAsia" w:cs="Arial"/>
          <w:sz w:val="20"/>
          <w:szCs w:val="20"/>
        </w:rPr>
        <w:t xml:space="preserve"> , 2025</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8.9.3</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Further discussion</w:t>
      </w:r>
      <w:r>
        <w:rPr>
          <w:rFonts w:hint="eastAsia" w:cs="Arial" w:eastAsiaTheme="minorEastAsia"/>
          <w:sz w:val="20"/>
          <w:szCs w:val="20"/>
          <w:lang w:val="en-US" w:eastAsia="zh-CN"/>
        </w:rPr>
        <w:t xml:space="preserve"> on uplink capacity enhancement for IoT-NTN</w:t>
      </w:r>
    </w:p>
    <w:p>
      <w:pPr>
        <w:pStyle w:val="56"/>
        <w:jc w:val="left"/>
        <w:rPr>
          <w:rFonts w:hint="eastAsia" w:eastAsia="宋体" w:cs="Arial"/>
          <w:sz w:val="20"/>
          <w:szCs w:val="20"/>
          <w:lang w:val="en-US" w:eastAsia="zh-CN"/>
        </w:rPr>
      </w:pPr>
      <w:r>
        <w:rPr>
          <w:rFonts w:cs="Arial"/>
          <w:sz w:val="20"/>
          <w:szCs w:val="20"/>
        </w:rPr>
        <w:t>Document for:</w:t>
      </w:r>
      <w:r>
        <w:rPr>
          <w:rFonts w:cs="Arial"/>
          <w:sz w:val="20"/>
          <w:szCs w:val="20"/>
        </w:rPr>
        <w:tab/>
      </w:r>
      <w:r>
        <w:rPr>
          <w:rFonts w:cs="Arial"/>
          <w:sz w:val="20"/>
          <w:szCs w:val="20"/>
        </w:rPr>
        <w:t>Discussion, Decision</w:t>
      </w:r>
    </w:p>
    <w:p>
      <w:pPr>
        <w:pStyle w:val="2"/>
        <w:rPr>
          <w:rFonts w:cs="Arial"/>
          <w:sz w:val="32"/>
          <w:szCs w:val="32"/>
        </w:rPr>
      </w:pPr>
      <w:r>
        <w:rPr>
          <w:rFonts w:cs="Arial"/>
          <w:sz w:val="32"/>
          <w:szCs w:val="32"/>
        </w:rPr>
        <w:t>Introduction</w:t>
      </w:r>
    </w:p>
    <w:p>
      <w:pPr>
        <w:numPr>
          <w:ilvl w:val="0"/>
          <w:numId w:val="0"/>
        </w:numPr>
        <w:spacing w:after="0"/>
      </w:pPr>
      <w:r>
        <w:rPr>
          <w:rFonts w:hint="eastAsia" w:eastAsia="宋体"/>
          <w:bCs/>
          <w:lang w:val="en-US" w:eastAsia="zh-CN"/>
        </w:rPr>
        <w:t>In last meeting, there were some discussions on uplink capacity enhancements for IoT-NTN and achieved some agreements as follows [1]:</w:t>
      </w:r>
    </w:p>
    <w:p>
      <w:pPr>
        <w:pStyle w:val="54"/>
        <w:pBdr>
          <w:top w:val="single" w:color="auto" w:sz="4" w:space="1"/>
          <w:left w:val="single" w:color="auto" w:sz="4" w:space="4"/>
          <w:bottom w:val="single" w:color="auto" w:sz="4" w:space="1"/>
          <w:right w:val="single" w:color="auto" w:sz="4" w:space="4"/>
        </w:pBdr>
      </w:pPr>
      <w:r>
        <w:t>Agreements:</w:t>
      </w:r>
    </w:p>
    <w:p>
      <w:pPr>
        <w:pStyle w:val="54"/>
        <w:pBdr>
          <w:top w:val="single" w:color="auto" w:sz="4" w:space="1"/>
          <w:left w:val="single" w:color="auto" w:sz="4" w:space="4"/>
          <w:bottom w:val="single" w:color="auto" w:sz="4" w:space="1"/>
          <w:right w:val="single" w:color="auto" w:sz="4" w:space="4"/>
        </w:pBdr>
      </w:pPr>
      <w:r>
        <w:t>1.</w:t>
      </w:r>
      <w:r>
        <w:tab/>
      </w:r>
      <w:r>
        <w:t xml:space="preserve">It is FFS if separate CB-msg3 resources would be needed for CB-msg-3 using OCC or if the same CB-msg3 resources could be used </w:t>
      </w:r>
    </w:p>
    <w:p>
      <w:pPr>
        <w:pStyle w:val="54"/>
        <w:pBdr>
          <w:top w:val="single" w:color="auto" w:sz="4" w:space="1"/>
          <w:left w:val="single" w:color="auto" w:sz="4" w:space="4"/>
          <w:bottom w:val="single" w:color="auto" w:sz="4" w:space="1"/>
          <w:right w:val="single" w:color="auto" w:sz="4" w:space="4"/>
        </w:pBdr>
      </w:pPr>
      <w:r>
        <w:t>2.</w:t>
      </w:r>
      <w:r>
        <w:tab/>
      </w:r>
      <w:r>
        <w:t>RAN2 assumes that one possibility to take power imbalance under control is to define RSRP ranges that need to be respected to transmit CB-msg3 using OCC</w:t>
      </w:r>
    </w:p>
    <w:p>
      <w:pPr>
        <w:pStyle w:val="54"/>
        <w:pBdr>
          <w:top w:val="single" w:color="auto" w:sz="4" w:space="1"/>
          <w:left w:val="single" w:color="auto" w:sz="4" w:space="4"/>
          <w:bottom w:val="single" w:color="auto" w:sz="4" w:space="1"/>
          <w:right w:val="single" w:color="auto" w:sz="4" w:space="4"/>
        </w:pBdr>
      </w:pPr>
      <w:r>
        <w:t>3.</w:t>
      </w:r>
      <w:r>
        <w:tab/>
      </w:r>
      <w:r>
        <w:t>RAN2 assumes that at least the following will be part of the shared resources configuration for CB-msg3 (FFS on other aspects)</w:t>
      </w:r>
    </w:p>
    <w:p>
      <w:pPr>
        <w:pStyle w:val="54"/>
        <w:pBdr>
          <w:top w:val="single" w:color="auto" w:sz="4" w:space="1"/>
          <w:left w:val="single" w:color="auto" w:sz="4" w:space="4"/>
          <w:bottom w:val="single" w:color="auto" w:sz="4" w:space="1"/>
          <w:right w:val="single" w:color="auto" w:sz="4" w:space="4"/>
        </w:pBdr>
      </w:pPr>
      <w:r>
        <w:tab/>
      </w:r>
      <w:r>
        <w:t>-</w:t>
      </w:r>
      <w:r>
        <w:tab/>
      </w:r>
      <w:r>
        <w:t>Time domain resources for (N)PUSCH occasions: periodicity and start time (e.g., start subframe, start SFN)</w:t>
      </w:r>
    </w:p>
    <w:p>
      <w:pPr>
        <w:pStyle w:val="54"/>
        <w:pBdr>
          <w:top w:val="single" w:color="auto" w:sz="4" w:space="1"/>
          <w:left w:val="single" w:color="auto" w:sz="4" w:space="4"/>
          <w:bottom w:val="single" w:color="auto" w:sz="4" w:space="1"/>
          <w:right w:val="single" w:color="auto" w:sz="4" w:space="4"/>
        </w:pBdr>
      </w:pPr>
      <w:r>
        <w:tab/>
      </w:r>
      <w:r>
        <w:t>-</w:t>
      </w:r>
      <w:r>
        <w:tab/>
      </w:r>
      <w:r>
        <w:t xml:space="preserve">Frequency domain resources for (N)PUSCH occasions </w:t>
      </w:r>
    </w:p>
    <w:p>
      <w:pPr>
        <w:pStyle w:val="54"/>
        <w:pBdr>
          <w:top w:val="single" w:color="auto" w:sz="4" w:space="1"/>
          <w:left w:val="single" w:color="auto" w:sz="4" w:space="4"/>
          <w:bottom w:val="single" w:color="auto" w:sz="4" w:space="1"/>
          <w:right w:val="single" w:color="auto" w:sz="4" w:space="4"/>
        </w:pBdr>
      </w:pPr>
      <w:r>
        <w:tab/>
      </w:r>
      <w:r>
        <w:t>-</w:t>
      </w:r>
      <w:r>
        <w:tab/>
      </w:r>
      <w:r>
        <w:t>repetition number</w:t>
      </w:r>
    </w:p>
    <w:p>
      <w:pPr>
        <w:pStyle w:val="54"/>
        <w:pBdr>
          <w:top w:val="single" w:color="auto" w:sz="4" w:space="1"/>
          <w:left w:val="single" w:color="auto" w:sz="4" w:space="4"/>
          <w:bottom w:val="single" w:color="auto" w:sz="4" w:space="1"/>
          <w:right w:val="single" w:color="auto" w:sz="4" w:space="4"/>
        </w:pBdr>
      </w:pPr>
      <w:r>
        <w:tab/>
      </w:r>
      <w:r>
        <w:t>-</w:t>
      </w:r>
      <w:r>
        <w:tab/>
      </w:r>
      <w:r>
        <w:t>(N)PDCCH resource</w:t>
      </w:r>
    </w:p>
    <w:p>
      <w:pPr>
        <w:pStyle w:val="54"/>
        <w:pBdr>
          <w:top w:val="single" w:color="auto" w:sz="4" w:space="1"/>
          <w:left w:val="single" w:color="auto" w:sz="4" w:space="4"/>
          <w:bottom w:val="single" w:color="auto" w:sz="4" w:space="1"/>
          <w:right w:val="single" w:color="auto" w:sz="4" w:space="4"/>
        </w:pBdr>
      </w:pPr>
      <w:r>
        <w:tab/>
      </w:r>
      <w:r>
        <w:t>-</w:t>
      </w:r>
      <w:r>
        <w:tab/>
      </w:r>
      <w:r>
        <w:t>MCS</w:t>
      </w:r>
    </w:p>
    <w:p>
      <w:pPr>
        <w:pStyle w:val="54"/>
        <w:pBdr>
          <w:top w:val="single" w:color="auto" w:sz="4" w:space="1"/>
          <w:left w:val="single" w:color="auto" w:sz="4" w:space="4"/>
          <w:bottom w:val="single" w:color="auto" w:sz="4" w:space="1"/>
          <w:right w:val="single" w:color="auto" w:sz="4" w:space="4"/>
        </w:pBdr>
      </w:pPr>
      <w:r>
        <w:t>4.</w:t>
      </w:r>
      <w:r>
        <w:tab/>
      </w:r>
      <w:r>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pPr>
        <w:pStyle w:val="54"/>
        <w:pBdr>
          <w:top w:val="single" w:color="auto" w:sz="4" w:space="1"/>
          <w:left w:val="single" w:color="auto" w:sz="4" w:space="4"/>
          <w:bottom w:val="single" w:color="auto" w:sz="4" w:space="1"/>
          <w:right w:val="single" w:color="auto" w:sz="4" w:space="4"/>
        </w:pBdr>
      </w:pPr>
      <w:r>
        <w:t>5.</w:t>
      </w:r>
      <w:r>
        <w:tab/>
      </w:r>
      <w:r>
        <w:t>The UE shall at most have one ongoing CB EDT procedure at any time.</w:t>
      </w:r>
    </w:p>
    <w:p>
      <w:pPr>
        <w:pStyle w:val="54"/>
        <w:pBdr>
          <w:top w:val="single" w:color="auto" w:sz="4" w:space="1"/>
          <w:left w:val="single" w:color="auto" w:sz="4" w:space="4"/>
          <w:bottom w:val="single" w:color="auto" w:sz="4" w:space="1"/>
          <w:right w:val="single" w:color="auto" w:sz="4" w:space="4"/>
        </w:pBdr>
      </w:pPr>
      <w:r>
        <w:t>6.</w:t>
      </w:r>
      <w:r>
        <w:tab/>
      </w:r>
      <w:r>
        <w:t>The CB EDT Config has one minimum RSRP threshold (as agreed in RAN2#128) to use CB EDT.</w:t>
      </w:r>
    </w:p>
    <w:p>
      <w:pPr>
        <w:pStyle w:val="54"/>
        <w:pBdr>
          <w:top w:val="single" w:color="auto" w:sz="4" w:space="1"/>
          <w:left w:val="single" w:color="auto" w:sz="4" w:space="4"/>
          <w:bottom w:val="single" w:color="auto" w:sz="4" w:space="1"/>
          <w:right w:val="single" w:color="auto" w:sz="4" w:space="4"/>
        </w:pBdr>
      </w:pPr>
      <w:r>
        <w:t>7.</w:t>
      </w:r>
      <w:r>
        <w:tab/>
      </w:r>
      <w:r>
        <w:t>The CB EDT Config has two RSRP thresholds for NB-IoT for the three CE levels.</w:t>
      </w:r>
    </w:p>
    <w:p>
      <w:pPr>
        <w:pStyle w:val="54"/>
        <w:pBdr>
          <w:top w:val="single" w:color="auto" w:sz="4" w:space="1"/>
          <w:left w:val="single" w:color="auto" w:sz="4" w:space="4"/>
          <w:bottom w:val="single" w:color="auto" w:sz="4" w:space="1"/>
          <w:right w:val="single" w:color="auto" w:sz="4" w:space="4"/>
        </w:pBdr>
      </w:pPr>
      <w:r>
        <w:t>8.</w:t>
      </w:r>
      <w:r>
        <w:tab/>
      </w:r>
      <w:r>
        <w:t>CB EDT Config has three RSRP thresholds for eMTC for the four CE levels.</w:t>
      </w:r>
    </w:p>
    <w:p>
      <w:pPr>
        <w:pStyle w:val="54"/>
        <w:pBdr>
          <w:top w:val="single" w:color="auto" w:sz="4" w:space="1"/>
          <w:left w:val="single" w:color="auto" w:sz="4" w:space="4"/>
          <w:bottom w:val="single" w:color="auto" w:sz="4" w:space="1"/>
          <w:right w:val="single" w:color="auto" w:sz="4" w:space="4"/>
        </w:pBdr>
      </w:pPr>
      <w:r>
        <w:t>7.</w:t>
      </w:r>
      <w:r>
        <w:tab/>
      </w:r>
      <w:r>
        <w:t>As Signalling design Baseline RAN2 assumes the PUR config and the NPRACH config for shared (N)PUSCH config can be used and some of the parameters can be included in a new CB EDT config.</w:t>
      </w:r>
    </w:p>
    <w:p>
      <w:pPr>
        <w:pStyle w:val="54"/>
        <w:pBdr>
          <w:top w:val="single" w:color="auto" w:sz="4" w:space="1"/>
          <w:left w:val="single" w:color="auto" w:sz="4" w:space="4"/>
          <w:bottom w:val="single" w:color="auto" w:sz="4" w:space="1"/>
          <w:right w:val="single" w:color="auto" w:sz="4" w:space="4"/>
        </w:pBdr>
      </w:pPr>
      <w:r>
        <w:t>8.</w:t>
      </w:r>
      <w:r>
        <w:tab/>
      </w:r>
      <w:r>
        <w:t>RAN2 consider a new CBEDT-ConfigSIB-NB IE for configuring the CB EDT feature</w:t>
      </w:r>
    </w:p>
    <w:p>
      <w:pPr>
        <w:pStyle w:val="54"/>
        <w:pBdr>
          <w:top w:val="single" w:color="auto" w:sz="4" w:space="1"/>
          <w:left w:val="single" w:color="auto" w:sz="4" w:space="4"/>
          <w:bottom w:val="single" w:color="auto" w:sz="4" w:space="1"/>
          <w:right w:val="single" w:color="auto" w:sz="4" w:space="4"/>
        </w:pBdr>
      </w:pPr>
      <w:r>
        <w:t xml:space="preserve">Working assumption: </w:t>
      </w:r>
    </w:p>
    <w:p>
      <w:pPr>
        <w:pStyle w:val="54"/>
        <w:numPr>
          <w:ilvl w:val="0"/>
          <w:numId w:val="11"/>
        </w:numPr>
        <w:pBdr>
          <w:top w:val="single" w:color="auto" w:sz="4" w:space="1"/>
          <w:left w:val="single" w:color="auto" w:sz="4" w:space="4"/>
          <w:bottom w:val="single" w:color="auto" w:sz="4" w:space="1"/>
          <w:right w:val="single" w:color="auto" w:sz="4" w:space="4"/>
        </w:pBdr>
      </w:pPr>
      <w:r>
        <w:t>One CB-MSG4 can target multiple UEs simultaneously (FFS on the details)</w:t>
      </w:r>
    </w:p>
    <w:p>
      <w:pPr>
        <w:pStyle w:val="54"/>
        <w:numPr>
          <w:ilvl w:val="0"/>
          <w:numId w:val="11"/>
        </w:numPr>
        <w:pBdr>
          <w:top w:val="single" w:color="auto" w:sz="4" w:space="1"/>
          <w:left w:val="single" w:color="auto" w:sz="4" w:space="4"/>
          <w:bottom w:val="single" w:color="auto" w:sz="4" w:space="1"/>
          <w:right w:val="single" w:color="auto" w:sz="4" w:space="4"/>
        </w:pBdr>
      </w:pPr>
      <w:r>
        <w:t>For CB-MSG3, the Transmission window is configured by the network with a starting point (e.g. H-SFN offset), a window length, and a window periodicity (window length and periodicity could be the same). For k=1 the window length can be equal to 1: same behaviour as today</w:t>
      </w:r>
    </w:p>
    <w:p>
      <w:pPr>
        <w:pStyle w:val="54"/>
        <w:pBdr>
          <w:top w:val="single" w:color="auto" w:sz="4" w:space="1"/>
          <w:left w:val="single" w:color="auto" w:sz="4" w:space="4"/>
          <w:bottom w:val="single" w:color="auto" w:sz="4" w:space="1"/>
          <w:right w:val="single" w:color="auto" w:sz="4" w:space="4"/>
        </w:pBdr>
      </w:pPr>
      <w:r>
        <w:tab/>
      </w:r>
      <w:r>
        <w:t xml:space="preserve">The UE first selects the next DSA transmission window and then randomly select K replicasinside the window. </w:t>
      </w:r>
    </w:p>
    <w:p>
      <w:pPr>
        <w:pStyle w:val="54"/>
        <w:pBdr>
          <w:top w:val="single" w:color="auto" w:sz="4" w:space="1"/>
          <w:left w:val="single" w:color="auto" w:sz="4" w:space="4"/>
          <w:bottom w:val="single" w:color="auto" w:sz="4" w:space="1"/>
          <w:right w:val="single" w:color="auto" w:sz="4" w:space="4"/>
        </w:pBdr>
      </w:pPr>
      <w:r>
        <w:tab/>
      </w:r>
      <w:r>
        <w:t>RAN2 assumes that a pointer solution is not needed in Rel-19</w:t>
      </w:r>
    </w:p>
    <w:p>
      <w:pPr>
        <w:pStyle w:val="54"/>
        <w:ind w:left="0" w:leftChars="0" w:firstLine="0" w:firstLineChars="0"/>
        <w:rPr>
          <w:rFonts w:hint="eastAsia" w:eastAsia="宋体"/>
          <w:lang w:val="en-US" w:eastAsia="zh-CN"/>
        </w:rPr>
      </w:pPr>
      <w:r>
        <w:rPr>
          <w:rFonts w:hint="eastAsia" w:eastAsia="宋体"/>
          <w:lang w:val="en-US" w:eastAsia="zh-CN"/>
        </w:rPr>
        <w:t>And CB-msg3 resource configuration parameters and CB-msg4 monitoring window and RNTI design are further discussed in the email discussion [2].</w:t>
      </w:r>
    </w:p>
    <w:p>
      <w:pPr>
        <w:suppressAutoHyphens/>
        <w:adjustRightInd/>
        <w:spacing w:before="120"/>
        <w:rPr>
          <w:rFonts w:eastAsiaTheme="minorEastAsia"/>
        </w:rPr>
      </w:pPr>
      <w:r>
        <w:rPr>
          <w:rFonts w:hint="eastAsia" w:cs="Arial" w:eastAsiaTheme="minorEastAsia"/>
          <w:lang w:val="en-US" w:eastAsia="zh-CN"/>
        </w:rPr>
        <w:t>I</w:t>
      </w:r>
      <w:r>
        <w:rPr>
          <w:rFonts w:cs="Arial"/>
        </w:rPr>
        <w:t>n this contribution, we would like to</w:t>
      </w:r>
      <w:r>
        <w:rPr>
          <w:rFonts w:hint="eastAsia" w:eastAsia="宋体" w:cs="Arial"/>
          <w:lang w:val="en-US" w:eastAsia="zh-CN"/>
        </w:rPr>
        <w:t xml:space="preserve"> </w:t>
      </w:r>
      <w:r>
        <w:rPr>
          <w:rFonts w:cs="Arial"/>
        </w:rPr>
        <w:t xml:space="preserve">provide </w:t>
      </w:r>
      <w:r>
        <w:rPr>
          <w:rFonts w:hint="eastAsia" w:cs="Arial" w:eastAsiaTheme="minorEastAsia"/>
          <w:lang w:val="en-US" w:eastAsia="zh-CN"/>
        </w:rPr>
        <w:t>some further discussion on</w:t>
      </w:r>
      <w:r>
        <w:rPr>
          <w:rFonts w:cs="Arial"/>
        </w:rPr>
        <w:t xml:space="preserve"> </w:t>
      </w:r>
      <w:r>
        <w:rPr>
          <w:rFonts w:hint="eastAsia" w:eastAsia="宋体" w:cs="Arial"/>
          <w:lang w:val="en-US" w:eastAsia="zh-CN"/>
        </w:rPr>
        <w:t>the remaining issues for CB-EDT enhancements in</w:t>
      </w:r>
      <w:r>
        <w:rPr>
          <w:rFonts w:cs="Arial"/>
        </w:rPr>
        <w:t xml:space="preserve"> </w:t>
      </w:r>
      <w:r>
        <w:rPr>
          <w:rFonts w:hint="eastAsia" w:eastAsia="宋体" w:cs="Arial"/>
          <w:lang w:val="en-US" w:eastAsia="zh-CN"/>
        </w:rPr>
        <w:t>IoT-NTN system</w:t>
      </w:r>
      <w:r>
        <w:rPr>
          <w:rFonts w:hint="eastAsia" w:cs="Arial" w:eastAsiaTheme="minorEastAsia"/>
        </w:rPr>
        <w:t>.</w:t>
      </w:r>
    </w:p>
    <w:p>
      <w:pPr>
        <w:pStyle w:val="2"/>
        <w:rPr>
          <w:rFonts w:hint="default" w:eastAsiaTheme="minorEastAsia"/>
          <w:bCs/>
          <w:sz w:val="32"/>
          <w:szCs w:val="32"/>
          <w:u w:val="single"/>
          <w:lang w:val="en-US" w:eastAsia="zh-CN"/>
        </w:rPr>
      </w:pPr>
      <w:r>
        <w:rPr>
          <w:rFonts w:cs="Arial"/>
          <w:sz w:val="32"/>
          <w:szCs w:val="32"/>
        </w:rPr>
        <w:t>Discussion</w:t>
      </w:r>
      <w:bookmarkStart w:id="2" w:name="_Hlk41985036"/>
    </w:p>
    <w:p>
      <w:pPr>
        <w:pStyle w:val="3"/>
        <w:bidi w:val="0"/>
        <w:rPr>
          <w:rFonts w:hint="default" w:eastAsiaTheme="minorEastAsia"/>
          <w:b/>
          <w:bCs/>
          <w:sz w:val="24"/>
          <w:szCs w:val="24"/>
          <w:u w:val="none"/>
          <w:lang w:val="en-US" w:eastAsia="zh-CN"/>
        </w:rPr>
      </w:pPr>
      <w:r>
        <w:rPr>
          <w:rFonts w:hint="eastAsia" w:eastAsiaTheme="minorEastAsia"/>
          <w:b/>
          <w:bCs/>
          <w:sz w:val="24"/>
          <w:szCs w:val="24"/>
          <w:u w:val="none"/>
          <w:lang w:val="en-US" w:eastAsia="zh-CN"/>
        </w:rPr>
        <w:t xml:space="preserve"> CB-Msg3 aspects</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2.1.1 OCC</w:t>
      </w:r>
    </w:p>
    <w:p>
      <w:pPr>
        <w:pStyle w:val="60"/>
        <w:spacing w:after="0"/>
        <w:ind w:left="0" w:firstLine="0"/>
        <w:rPr>
          <w:rFonts w:hint="default" w:eastAsiaTheme="minorEastAsia"/>
          <w:b w:val="0"/>
          <w:bCs w:val="0"/>
          <w:sz w:val="20"/>
          <w:szCs w:val="20"/>
          <w:lang w:val="en-US" w:eastAsia="zh-CN"/>
        </w:rPr>
      </w:pPr>
      <w:r>
        <w:rPr>
          <w:rFonts w:hint="eastAsia" w:eastAsiaTheme="minorEastAsia"/>
          <w:b w:val="0"/>
          <w:bCs w:val="0"/>
          <w:sz w:val="20"/>
          <w:szCs w:val="20"/>
          <w:lang w:val="en-US" w:eastAsia="zh-CN"/>
        </w:rPr>
        <w:t xml:space="preserve">For CB-msg3 using OCC, to take power imbalance under control, RAN2 assumes that one possible solution is to define RSRP ranges. </w:t>
      </w:r>
      <w:bookmarkStart w:id="3" w:name="OLE_LINK1"/>
      <w:r>
        <w:rPr>
          <w:rFonts w:hint="eastAsia" w:eastAsiaTheme="minorEastAsia"/>
          <w:b w:val="0"/>
          <w:bCs w:val="0"/>
          <w:sz w:val="20"/>
          <w:szCs w:val="20"/>
          <w:lang w:val="en-US" w:eastAsia="zh-CN"/>
        </w:rPr>
        <w:t>To be specific, we could provide different RSRP ranges for CB-msg3 with and without OCC respectively.</w:t>
      </w:r>
      <w:bookmarkEnd w:id="3"/>
      <w:r>
        <w:rPr>
          <w:rFonts w:hint="eastAsia" w:eastAsiaTheme="minorEastAsia"/>
          <w:b w:val="0"/>
          <w:bCs w:val="0"/>
          <w:sz w:val="20"/>
          <w:szCs w:val="20"/>
          <w:lang w:val="en-US" w:eastAsia="zh-CN"/>
        </w:rPr>
        <w:t xml:space="preserve"> </w:t>
      </w:r>
      <w:bookmarkStart w:id="4" w:name="OLE_LINK2"/>
      <w:r>
        <w:rPr>
          <w:rFonts w:hint="eastAsia" w:eastAsiaTheme="minorEastAsia"/>
          <w:b w:val="0"/>
          <w:bCs w:val="0"/>
          <w:sz w:val="20"/>
          <w:szCs w:val="20"/>
          <w:lang w:val="en-US" w:eastAsia="zh-CN"/>
        </w:rPr>
        <w:t>And only when corresponding RSRP condition is fulfilled, CB-msg3 combined with OCC could be used.</w:t>
      </w:r>
      <w:bookmarkEnd w:id="4"/>
    </w:p>
    <w:p>
      <w:pPr>
        <w:pStyle w:val="60"/>
        <w:spacing w:after="0"/>
        <w:ind w:left="0" w:firstLine="0"/>
        <w:rPr>
          <w:rFonts w:hint="eastAsia" w:eastAsiaTheme="minorEastAsia"/>
          <w:b w:val="0"/>
          <w:bCs w:val="0"/>
          <w:sz w:val="20"/>
          <w:szCs w:val="20"/>
          <w:lang w:val="en-US" w:eastAsia="zh-CN"/>
        </w:rPr>
      </w:pPr>
      <w:r>
        <w:rPr>
          <w:rFonts w:hint="eastAsia" w:eastAsiaTheme="minorEastAsia"/>
          <w:b/>
          <w:bCs/>
          <w:sz w:val="20"/>
          <w:szCs w:val="20"/>
          <w:lang w:val="en-US" w:eastAsia="zh-CN"/>
        </w:rPr>
        <w:t>Proposal 1: Provide different RSRP ranges for CB-msg3 with and without OCC respectively. And only when corresponding RSRP condition is fulfilled, CB-msg3 combined with OCC could be used.</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2.1.2 TA validation parameters for 15kHz SCS NB-IoT and eMTC CE mode B</w:t>
      </w:r>
    </w:p>
    <w:p>
      <w:pPr>
        <w:pStyle w:val="60"/>
        <w:spacing w:after="0"/>
        <w:ind w:left="0" w:firstLine="0"/>
        <w:rPr>
          <w:rFonts w:hint="default" w:eastAsia="宋体"/>
          <w:b w:val="0"/>
          <w:bCs w:val="0"/>
          <w:sz w:val="20"/>
          <w:szCs w:val="20"/>
          <w:lang w:val="en-US" w:eastAsia="zh-CN"/>
        </w:rPr>
      </w:pPr>
      <w:r>
        <w:rPr>
          <w:rFonts w:hint="eastAsia" w:eastAsiaTheme="minorEastAsia"/>
          <w:b w:val="0"/>
          <w:bCs w:val="0"/>
          <w:sz w:val="20"/>
          <w:szCs w:val="20"/>
          <w:lang w:val="en-US" w:eastAsia="zh-CN"/>
        </w:rPr>
        <w:t xml:space="preserve">In RAN2 #128 meeting, we agreed that only system Information is used to provide cell-specific CB-Msg3 PUSCH resources and whether support TA validation parameters in dedicated signaling for 15kHz SCS NB-IoT and eMTC CE mode B is FFS. As we known, only NB-IoT with 3.75kHz SCS and </w:t>
      </w:r>
      <w:r>
        <w:t xml:space="preserve">eMTC CE mode </w:t>
      </w:r>
      <w:r>
        <w:rPr>
          <w:rFonts w:hint="eastAsia" w:eastAsia="宋体"/>
          <w:lang w:val="en-US" w:eastAsia="zh-CN"/>
        </w:rPr>
        <w:t xml:space="preserve">A UEs </w:t>
      </w:r>
      <w:r>
        <w:rPr>
          <w:rFonts w:hint="eastAsia" w:eastAsia="宋体" w:cs="Arial"/>
          <w:sz w:val="20"/>
          <w:szCs w:val="20"/>
          <w:lang w:val="en-US" w:eastAsia="zh-CN"/>
        </w:rPr>
        <w:t xml:space="preserve">could satisfy the required timing accuracy for Msg3 transmission without Msg1/Msg2. And in RAN2 127bis, we also agreed that </w:t>
      </w:r>
      <w:r>
        <w:t>a running TAT is not needed to initiate a CB-msg3 EDT transmission</w:t>
      </w:r>
      <w:r>
        <w:rPr>
          <w:rFonts w:hint="eastAsia" w:eastAsia="宋体"/>
          <w:lang w:val="en-US" w:eastAsia="zh-CN"/>
        </w:rPr>
        <w:t xml:space="preserve"> in the above cases, that is TA validation is not needed. However, for </w:t>
      </w:r>
      <w:r>
        <w:t>15kHz SCS NB-IoT and eMTC CE mode B</w:t>
      </w:r>
      <w:r>
        <w:rPr>
          <w:rFonts w:hint="eastAsia" w:eastAsia="宋体"/>
          <w:lang w:val="en-US" w:eastAsia="zh-CN"/>
        </w:rPr>
        <w:t>, to guarantee the timing requirement, TA validation is still necessary. And per the RAN4 agreement in R17 IoT-NTN,</w:t>
      </w:r>
      <w:r>
        <w:t xml:space="preserve"> RSRP-based validation requirements is not needed for TA validation</w:t>
      </w:r>
      <w:r>
        <w:rPr>
          <w:rFonts w:hint="eastAsia" w:eastAsia="宋体"/>
          <w:lang w:val="en-US" w:eastAsia="zh-CN"/>
        </w:rPr>
        <w:t xml:space="preserve"> due to unobvious near-far effect in NTN. system. At least TAT timer could be supported to achieve timing alignment validation, and dedicated signaling could be considered to provide this parameter for </w:t>
      </w:r>
      <w:r>
        <w:rPr>
          <w:rFonts w:hint="eastAsia" w:eastAsiaTheme="minorEastAsia"/>
          <w:b w:val="0"/>
          <w:bCs w:val="0"/>
          <w:sz w:val="20"/>
          <w:szCs w:val="20"/>
          <w:lang w:val="en-US" w:eastAsia="zh-CN"/>
        </w:rPr>
        <w:t>15kHz SCS NB-IoT and eMTC CE mode B.</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Proposal 2: Support dedicated signaling to configure the TA validation parameters (e.g. TAT timer at least) for 15kHz SCS NB-IoT and eMTC CE mode B.</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2.1.3 TBS for different CE levels</w:t>
      </w:r>
    </w:p>
    <w:p>
      <w:pPr>
        <w:rPr>
          <w:rFonts w:hint="default"/>
          <w:lang w:val="en-US" w:eastAsia="zh-CN"/>
        </w:rPr>
      </w:pPr>
      <w:r>
        <w:rPr>
          <w:rFonts w:hint="eastAsia"/>
          <w:lang w:val="en-US" w:eastAsia="zh-CN"/>
        </w:rPr>
        <w:t>In the existing EDT procedure, the largest TBS value is provided in system information per CE level.</w:t>
      </w:r>
    </w:p>
    <w:p>
      <w:pPr>
        <w:rPr>
          <w:rFonts w:hint="default" w:eastAsia="宋体"/>
          <w:b/>
          <w:bCs w:val="0"/>
          <w:i w:val="0"/>
          <w:iCs w:val="0"/>
          <w:lang w:val="en-US" w:eastAsia="zh-CN"/>
        </w:rPr>
      </w:pPr>
      <w:r>
        <w:rPr>
          <w:rFonts w:hint="default" w:eastAsia="宋体"/>
          <w:b/>
          <w:bCs w:val="0"/>
          <w:i w:val="0"/>
          <w:iCs w:val="0"/>
          <w:lang w:val="en-US" w:eastAsia="zh-CN"/>
        </w:rPr>
        <w:drawing>
          <wp:inline distT="0" distB="0" distL="114300" distR="114300">
            <wp:extent cx="6113145" cy="2745105"/>
            <wp:effectExtent l="0" t="0" r="1905" b="17145"/>
            <wp:docPr id="3" name="图片 3" descr="1734315186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34315186737"/>
                    <pic:cNvPicPr>
                      <a:picLocks noChangeAspect="1"/>
                    </pic:cNvPicPr>
                  </pic:nvPicPr>
                  <pic:blipFill>
                    <a:blip r:embed="rId11"/>
                    <a:stretch>
                      <a:fillRect/>
                    </a:stretch>
                  </pic:blipFill>
                  <pic:spPr>
                    <a:xfrm>
                      <a:off x="0" y="0"/>
                      <a:ext cx="6113145" cy="2745105"/>
                    </a:xfrm>
                    <a:prstGeom prst="rect">
                      <a:avLst/>
                    </a:prstGeom>
                  </pic:spPr>
                </pic:pic>
              </a:graphicData>
            </a:graphic>
          </wp:inline>
        </w:drawing>
      </w:r>
    </w:p>
    <w:p>
      <w:pPr>
        <w:rPr>
          <w:rFonts w:hint="default" w:eastAsia="宋体"/>
          <w:b/>
          <w:bCs w:val="0"/>
          <w:i w:val="0"/>
          <w:iCs w:val="0"/>
          <w:lang w:val="en-US" w:eastAsia="zh-CN"/>
        </w:rPr>
      </w:pPr>
      <w:r>
        <w:rPr>
          <w:rFonts w:hint="default" w:eastAsia="宋体"/>
          <w:b/>
          <w:bCs w:val="0"/>
          <w:i w:val="0"/>
          <w:iCs w:val="0"/>
          <w:lang w:val="en-US" w:eastAsia="zh-CN"/>
        </w:rPr>
        <w:drawing>
          <wp:inline distT="0" distB="0" distL="114300" distR="114300">
            <wp:extent cx="6120130" cy="535305"/>
            <wp:effectExtent l="0" t="0" r="13970" b="17145"/>
            <wp:docPr id="4" name="图片 4" descr="1734315238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34315238603"/>
                    <pic:cNvPicPr>
                      <a:picLocks noChangeAspect="1"/>
                    </pic:cNvPicPr>
                  </pic:nvPicPr>
                  <pic:blipFill>
                    <a:blip r:embed="rId12"/>
                    <a:stretch>
                      <a:fillRect/>
                    </a:stretch>
                  </pic:blipFill>
                  <pic:spPr>
                    <a:xfrm>
                      <a:off x="0" y="0"/>
                      <a:ext cx="6120130" cy="535305"/>
                    </a:xfrm>
                    <a:prstGeom prst="rect">
                      <a:avLst/>
                    </a:prstGeom>
                  </pic:spPr>
                </pic:pic>
              </a:graphicData>
            </a:graphic>
          </wp:inline>
        </w:drawing>
      </w:r>
    </w:p>
    <w:p>
      <w:pPr>
        <w:rPr>
          <w:rFonts w:hint="default" w:eastAsia="宋体"/>
          <w:b w:val="0"/>
          <w:bCs/>
          <w:i w:val="0"/>
          <w:iCs w:val="0"/>
          <w:lang w:val="en-US" w:eastAsia="zh-CN"/>
        </w:rPr>
      </w:pPr>
      <w:r>
        <w:rPr>
          <w:rFonts w:hint="eastAsia" w:eastAsia="宋体"/>
          <w:b w:val="0"/>
          <w:bCs/>
          <w:i w:val="0"/>
          <w:iCs w:val="0"/>
          <w:lang w:val="en-US" w:eastAsia="zh-CN"/>
        </w:rPr>
        <w:t xml:space="preserve">And the specific selection procedure is in TS 36.321 depicted as below: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numPr>
                <w:ilvl w:val="1"/>
                <w:numId w:val="0"/>
              </w:numPr>
              <w:ind w:left="142" w:leftChars="0"/>
            </w:pPr>
            <w:bookmarkStart w:id="5" w:name="_Toc37256362"/>
            <w:bookmarkStart w:id="6" w:name="_Toc52536210"/>
            <w:bookmarkStart w:id="7" w:name="_Toc178249168"/>
            <w:bookmarkStart w:id="8" w:name="_Toc29242951"/>
            <w:bookmarkStart w:id="9" w:name="_Toc37256208"/>
            <w:bookmarkStart w:id="10" w:name="_Toc46500301"/>
            <w:r>
              <w:t>5.1.2</w:t>
            </w:r>
            <w:r>
              <w:tab/>
            </w:r>
            <w:r>
              <w:t>Random Access Resource selection</w:t>
            </w:r>
            <w:bookmarkEnd w:id="5"/>
            <w:bookmarkEnd w:id="6"/>
            <w:bookmarkEnd w:id="7"/>
            <w:bookmarkEnd w:id="8"/>
            <w:bookmarkEnd w:id="9"/>
            <w:bookmarkEnd w:id="10"/>
          </w:p>
          <w:p>
            <w:r>
              <w:t xml:space="preserve">The Random Access Resource </w:t>
            </w:r>
            <w:r>
              <w:rPr>
                <w:lang w:eastAsia="zh-CN"/>
              </w:rPr>
              <w:t xml:space="preserve">selection </w:t>
            </w:r>
            <w:r>
              <w:t>procedure shall be performed as follows:</w:t>
            </w:r>
          </w:p>
          <w:p>
            <w:pPr>
              <w:pStyle w:val="60"/>
            </w:pPr>
            <w:r>
              <w:t>-</w:t>
            </w:r>
            <w:r>
              <w:tab/>
            </w:r>
            <w:r>
              <w:t>for BL UEs or UEs in enhanced coverage or NB-IoT UEs, if EDT is initiated by the upper layers:</w:t>
            </w:r>
          </w:p>
          <w:p>
            <w:pPr>
              <w:pStyle w:val="61"/>
            </w:pPr>
            <w:r>
              <w:t>-</w:t>
            </w:r>
            <w:r>
              <w:tab/>
            </w:r>
            <w:r>
              <w:t xml:space="preserve">if the message size (UL data available for transmission plus MAC header and, where required, MAC control elements) is larger than the TB size signalled in </w:t>
            </w:r>
            <w:r>
              <w:rPr>
                <w:i/>
              </w:rPr>
              <w:t>edt-TBS</w:t>
            </w:r>
            <w:r>
              <w:t xml:space="preserve"> for the selected enhanced coverage level for EDT; or</w:t>
            </w:r>
          </w:p>
          <w:p>
            <w:pPr>
              <w:pStyle w:val="61"/>
            </w:pPr>
            <w:r>
              <w:t>-</w:t>
            </w:r>
            <w:r>
              <w:tab/>
            </w:r>
            <w:r>
              <w:t>if the PRACH resource associated with EDT for the selected enhanced coverage level is not available:</w:t>
            </w:r>
          </w:p>
          <w:p>
            <w:pPr>
              <w:pStyle w:val="62"/>
            </w:pPr>
            <w:r>
              <w:t>-</w:t>
            </w:r>
            <w:r>
              <w:tab/>
            </w:r>
            <w:r>
              <w:t>indicate to upper layers that EDT is cancelled;</w:t>
            </w:r>
          </w:p>
          <w:p>
            <w:pPr>
              <w:pStyle w:val="60"/>
            </w:pPr>
            <w:r>
              <w:t>-</w:t>
            </w:r>
            <w:r>
              <w:tab/>
            </w:r>
            <w:r>
              <w:t>for BL UEs or UEs in enhanced coverage, select the PRACH resource set corresponding to the selected enhanced coverage level. For EDT, the PRACH resource set shall correspond to the set associated with EDT for the selected enhanced coverage level.</w:t>
            </w:r>
          </w:p>
          <w:p>
            <w:pPr>
              <w:rPr>
                <w:rFonts w:hint="default" w:eastAsia="宋体"/>
                <w:b w:val="0"/>
                <w:bCs/>
                <w:i w:val="0"/>
                <w:iCs w:val="0"/>
                <w:vertAlign w:val="baseline"/>
                <w:lang w:val="en-US" w:eastAsia="zh-CN"/>
              </w:rPr>
            </w:pPr>
            <w:r>
              <w:rPr>
                <w:rFonts w:hint="eastAsia" w:eastAsia="宋体"/>
                <w:b w:val="0"/>
                <w:bCs/>
                <w:i w:val="0"/>
                <w:iCs w:val="0"/>
                <w:highlight w:val="cyan"/>
                <w:vertAlign w:val="baseline"/>
                <w:lang w:val="en-US" w:eastAsia="zh-CN"/>
              </w:rPr>
              <w:t>&lt;&lt;omitted&gt;&gt;</w:t>
            </w:r>
          </w:p>
        </w:tc>
      </w:tr>
    </w:tbl>
    <w:p>
      <w:pPr>
        <w:rPr>
          <w:rFonts w:hint="default" w:eastAsia="宋体"/>
          <w:b w:val="0"/>
          <w:bCs/>
          <w:i w:val="0"/>
          <w:iCs w:val="0"/>
          <w:lang w:val="en-US" w:eastAsia="zh-CN"/>
        </w:rPr>
      </w:pPr>
      <w:r>
        <w:rPr>
          <w:rFonts w:hint="eastAsia" w:eastAsia="宋体"/>
          <w:b w:val="0"/>
          <w:bCs/>
          <w:i w:val="0"/>
          <w:iCs w:val="0"/>
          <w:lang w:val="en-US" w:eastAsia="zh-CN"/>
        </w:rPr>
        <w:t xml:space="preserve">Based on above description, the maximum TBS used for existing EDT triggering is configured per CE level, but there is no restriction that different CE levels must be configured with different maximum TBA values. Therefore, for CB-Msg3 EDT, we could reuse existing configuration solution, that is provide </w:t>
      </w:r>
      <w:r>
        <w:t>maximum TBS</w:t>
      </w:r>
      <w:r>
        <w:rPr>
          <w:rFonts w:hint="eastAsia" w:eastAsia="宋体"/>
          <w:lang w:val="en-US" w:eastAsia="zh-CN"/>
        </w:rPr>
        <w:t xml:space="preserve"> per CE level, and whether configure same maximum TBS value for different CE level is up to network configuration.</w:t>
      </w:r>
    </w:p>
    <w:p>
      <w:pPr>
        <w:rPr>
          <w:rFonts w:hint="default" w:eastAsia="宋体"/>
          <w:b/>
          <w:bCs w:val="0"/>
          <w:i w:val="0"/>
          <w:iCs w:val="0"/>
          <w:lang w:val="en-US" w:eastAsia="zh-CN"/>
        </w:rPr>
      </w:pPr>
      <w:r>
        <w:rPr>
          <w:rFonts w:hint="eastAsia" w:eastAsia="宋体"/>
          <w:b/>
          <w:bCs w:val="0"/>
          <w:i w:val="0"/>
          <w:iCs w:val="0"/>
          <w:lang w:val="en-US" w:eastAsia="zh-CN"/>
        </w:rPr>
        <w:t>Proposal 3: Reuse existing configuration solution, that is provide maximum TBS per CE level, and whether configure same maximum TBS value for different CE level is up to network configuration.</w:t>
      </w:r>
    </w:p>
    <w:p>
      <w:pPr>
        <w:pStyle w:val="3"/>
        <w:bidi w:val="0"/>
        <w:rPr>
          <w:rFonts w:hint="default" w:eastAsia="宋体"/>
          <w:b/>
          <w:bCs w:val="0"/>
          <w:i w:val="0"/>
          <w:iCs w:val="0"/>
          <w:sz w:val="24"/>
          <w:szCs w:val="24"/>
          <w:lang w:val="en-US" w:eastAsia="zh-CN"/>
        </w:rPr>
      </w:pPr>
      <w:r>
        <w:rPr>
          <w:rFonts w:hint="eastAsia" w:eastAsiaTheme="minorEastAsia"/>
          <w:b/>
          <w:bCs/>
          <w:sz w:val="24"/>
          <w:szCs w:val="24"/>
          <w:u w:val="none"/>
          <w:lang w:val="en-US" w:eastAsia="zh-CN"/>
        </w:rPr>
        <w:t xml:space="preserve"> Msg4 aspects</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2.2.1 Msg4 monitoring window for DSA case</w:t>
      </w:r>
    </w:p>
    <w:p>
      <w:pPr>
        <w:rPr>
          <w:rFonts w:hint="default" w:eastAsia="宋体"/>
          <w:b w:val="0"/>
          <w:bCs/>
          <w:i w:val="0"/>
          <w:iCs w:val="0"/>
          <w:lang w:val="en-US" w:eastAsia="zh-CN"/>
        </w:rPr>
      </w:pPr>
      <w:r>
        <w:rPr>
          <w:rFonts w:hint="eastAsia" w:eastAsia="宋体"/>
          <w:b w:val="0"/>
          <w:bCs/>
          <w:i w:val="0"/>
          <w:iCs w:val="0"/>
          <w:lang w:val="en-US" w:eastAsia="zh-CN"/>
        </w:rPr>
        <w:t xml:space="preserve">In the email discussion [2], just slightly more companies support the single monitoring window solution for </w:t>
      </w:r>
      <w:r>
        <w:rPr>
          <w:rFonts w:ascii="Arial" w:hAnsi="Arial" w:cs="Arial"/>
          <w:bCs/>
          <w:lang w:eastAsia="zh-CN"/>
        </w:rPr>
        <w:t>simplicity</w:t>
      </w:r>
      <w:r>
        <w:rPr>
          <w:rFonts w:hint="eastAsia" w:cs="Arial"/>
          <w:bCs/>
          <w:lang w:val="en-US" w:eastAsia="zh-CN"/>
        </w:rPr>
        <w:t xml:space="preserve"> and </w:t>
      </w:r>
      <w:r>
        <w:rPr>
          <w:rFonts w:hint="eastAsia" w:eastAsia="宋体"/>
          <w:b w:val="0"/>
          <w:bCs/>
          <w:i w:val="0"/>
          <w:iCs w:val="0"/>
          <w:lang w:val="en-US" w:eastAsia="zh-CN"/>
        </w:rPr>
        <w:t xml:space="preserve">unified design. </w:t>
      </w:r>
    </w:p>
    <w:p>
      <w:pPr>
        <w:rPr>
          <w:rFonts w:hint="eastAsia" w:eastAsia="宋体"/>
          <w:b w:val="0"/>
          <w:bCs/>
          <w:i w:val="0"/>
          <w:iCs w:val="0"/>
          <w:lang w:val="en-US" w:eastAsia="zh-CN"/>
        </w:rPr>
      </w:pPr>
      <w:r>
        <w:rPr>
          <w:rFonts w:hint="eastAsia" w:eastAsia="宋体"/>
          <w:b w:val="0"/>
          <w:bCs/>
          <w:i w:val="0"/>
          <w:iCs w:val="0"/>
          <w:lang w:val="en-US" w:eastAsia="zh-CN"/>
        </w:rPr>
        <w:t>From our perspective, for one window, UE (re)starts the window at the subframe that contains the last repetition of the first UL transmission plus UE-eNB RTT plus processing time if supported. And network configure only one long duration to cover all replicas, which may be lead to power consumption for UE. Then for multiple window</w:t>
      </w:r>
      <w:r>
        <w:t xml:space="preserve"> (i.e. one window per each replica)</w:t>
      </w:r>
      <w:r>
        <w:rPr>
          <w:rFonts w:hint="eastAsia" w:eastAsia="宋体"/>
          <w:b w:val="0"/>
          <w:bCs/>
          <w:i w:val="0"/>
          <w:iCs w:val="0"/>
          <w:lang w:val="en-US" w:eastAsia="zh-CN"/>
        </w:rPr>
        <w:t xml:space="preserve">, UE (re)starts multiple shorter window for corresponding replica, which would help to reduce the power consumption especially when the interval between the windows is long. Further we have agreed that the number of replicas for DSA will be configured by the NW: 1 (SA), 2, 3, 4. The replica number is not so large, that is to say the </w:t>
      </w:r>
      <w:r>
        <w:rPr>
          <w:rFonts w:hint="eastAsia" w:ascii="Arial" w:hAnsi="Arial" w:cs="Arial"/>
          <w:bCs/>
          <w:lang w:val="en-US" w:eastAsia="zh-CN"/>
        </w:rPr>
        <w:t>monitoring complexity on the UE side is not so high</w:t>
      </w:r>
      <w:r>
        <w:rPr>
          <w:rFonts w:hint="eastAsia" w:cs="Arial"/>
          <w:bCs/>
          <w:lang w:val="en-US" w:eastAsia="zh-CN"/>
        </w:rPr>
        <w:t>. T</w:t>
      </w:r>
      <w:r>
        <w:rPr>
          <w:rFonts w:hint="eastAsia" w:eastAsia="宋体"/>
          <w:b w:val="0"/>
          <w:bCs/>
          <w:i w:val="0"/>
          <w:iCs w:val="0"/>
          <w:lang w:val="en-US" w:eastAsia="zh-CN"/>
        </w:rPr>
        <w:t>herefore multiple PDCCH monitoring windows may be more suitable.</w:t>
      </w:r>
    </w:p>
    <w:p>
      <w:pPr>
        <w:rPr>
          <w:rFonts w:hint="default" w:eastAsia="宋体"/>
          <w:b/>
          <w:bCs w:val="0"/>
          <w:i w:val="0"/>
          <w:iCs w:val="0"/>
          <w:lang w:val="en-US" w:eastAsia="zh-CN"/>
        </w:rPr>
      </w:pPr>
      <w:r>
        <w:rPr>
          <w:rFonts w:hint="eastAsia" w:eastAsia="宋体"/>
          <w:b/>
          <w:bCs w:val="0"/>
          <w:i w:val="0"/>
          <w:iCs w:val="0"/>
          <w:lang w:val="en-US" w:eastAsia="zh-CN"/>
        </w:rPr>
        <w:t>Observation 1: For multiple window (i.e. one window per each replica) solution, it would help to reduce the power consumption especially when the interval between the windows is long, and the monitoring complexity on the UE side is not so high.</w:t>
      </w:r>
    </w:p>
    <w:p>
      <w:pPr>
        <w:rPr>
          <w:rFonts w:hint="default" w:eastAsia="宋体"/>
          <w:b w:val="0"/>
          <w:bCs/>
          <w:i w:val="0"/>
          <w:iCs w:val="0"/>
          <w:lang w:val="en-US" w:eastAsia="zh-CN"/>
        </w:rPr>
      </w:pPr>
      <w:r>
        <w:rPr>
          <w:rFonts w:hint="eastAsia" w:eastAsia="宋体"/>
          <w:b/>
          <w:bCs w:val="0"/>
          <w:i w:val="0"/>
          <w:iCs w:val="0"/>
          <w:lang w:val="en-US" w:eastAsia="zh-CN"/>
        </w:rPr>
        <w:t>Proposal 4: Support multiple PDCCH monitoring windows for DSA case.</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2.2.2 RNTI design of Msg4 for DSA</w:t>
      </w:r>
    </w:p>
    <w:p>
      <w:pPr>
        <w:rPr>
          <w:rFonts w:hint="eastAsia"/>
          <w:lang w:val="en-US" w:eastAsia="zh-CN"/>
        </w:rPr>
      </w:pPr>
      <w:bookmarkStart w:id="11" w:name="OLE_LINK3"/>
      <w:r>
        <w:rPr>
          <w:rFonts w:hint="eastAsia" w:eastAsia="宋体"/>
          <w:b w:val="0"/>
          <w:bCs/>
          <w:i w:val="0"/>
          <w:iCs w:val="0"/>
          <w:lang w:val="en-US" w:eastAsia="zh-CN"/>
        </w:rPr>
        <w:t xml:space="preserve">In the email discussion [2], there is also discussion on RNTI design of Msg4 for DSA case, and slightly more companies support the single RNTI solution to avoid monitoring multiple RNTIs at the same time. </w:t>
      </w:r>
      <w:bookmarkEnd w:id="11"/>
    </w:p>
    <w:p>
      <w:pPr>
        <w:rPr>
          <w:rFonts w:hint="default" w:eastAsia="宋体"/>
          <w:lang w:val="en-US" w:eastAsia="zh-CN"/>
        </w:rPr>
      </w:pPr>
      <w:r>
        <w:rPr>
          <w:rFonts w:hint="eastAsia"/>
          <w:lang w:val="en-US" w:eastAsia="zh-CN"/>
        </w:rPr>
        <w:t xml:space="preserve">As known, we have agreed to derive it based </w:t>
      </w:r>
      <w:r>
        <w:t>on the resource associated to the PUSCH occasion used for contention based Msg3 EDT transmission</w:t>
      </w:r>
      <w:r>
        <w:rPr>
          <w:rFonts w:hint="eastAsia" w:eastAsia="宋体"/>
          <w:lang w:val="en-US" w:eastAsia="zh-CN"/>
        </w:rPr>
        <w:t>, which is similar to the RA-RNTI calculation associated with the transmission resource of the preamble. Some companies prefer a common RNTI, however, it may be difficult to design the common RNTI associated with the PUSCH transmission resources of multiple replicas. And for UE side, multiple RNTI could be calculated based on corresponding replica transmission resource respectively, which is more reasonable and clear. Then for network side, e</w:t>
      </w:r>
      <w:r>
        <w:rPr>
          <w:rFonts w:hint="eastAsia" w:ascii="Arial" w:hAnsi="Arial" w:cs="Arial"/>
          <w:bCs/>
          <w:lang w:val="en-US" w:eastAsia="zh-CN"/>
        </w:rPr>
        <w:t xml:space="preserve">ven though the pointer solution is not supported in R19, NW is </w:t>
      </w:r>
      <w:r>
        <w:rPr>
          <w:rFonts w:hint="eastAsia" w:cs="Arial"/>
          <w:bCs/>
          <w:lang w:val="en-US" w:eastAsia="zh-CN"/>
        </w:rPr>
        <w:t xml:space="preserve">still </w:t>
      </w:r>
      <w:r>
        <w:rPr>
          <w:rFonts w:hint="eastAsia" w:ascii="Arial" w:hAnsi="Arial" w:cs="Arial"/>
          <w:bCs/>
          <w:lang w:val="en-US" w:eastAsia="zh-CN"/>
        </w:rPr>
        <w:t>able to infer the transmission resource used by the replica after receiving the replica</w:t>
      </w:r>
      <w:r>
        <w:rPr>
          <w:rFonts w:hint="eastAsia" w:cs="Arial"/>
          <w:bCs/>
          <w:lang w:val="en-US" w:eastAsia="zh-CN"/>
        </w:rPr>
        <w:t xml:space="preserve">, and then calculates the corresponding RNTI. </w:t>
      </w:r>
      <w:r>
        <w:rPr>
          <w:rFonts w:hint="eastAsia" w:eastAsia="宋体"/>
          <w:lang w:val="en-US" w:eastAsia="zh-CN"/>
        </w:rPr>
        <w:t>PDCCH monitoring windows are supported as mentioned above, then UE could monitor each PDCCH in the related window using the specific RNTI.</w:t>
      </w:r>
    </w:p>
    <w:p>
      <w:pPr>
        <w:rPr>
          <w:rFonts w:hint="default" w:eastAsia="宋体"/>
          <w:b/>
          <w:bCs w:val="0"/>
          <w:i w:val="0"/>
          <w:iCs w:val="0"/>
          <w:lang w:val="en-US" w:eastAsia="zh-CN"/>
        </w:rPr>
      </w:pPr>
      <w:r>
        <w:rPr>
          <w:rFonts w:hint="eastAsia" w:eastAsia="宋体"/>
          <w:b/>
          <w:bCs w:val="0"/>
          <w:i w:val="0"/>
          <w:iCs w:val="0"/>
          <w:lang w:val="en-US" w:eastAsia="zh-CN"/>
        </w:rPr>
        <w:t>Observation 2 : For single RNTI, it may be difficult to design the common RNTI associated with the PUSCH transmission resources of multiple replicas.</w:t>
      </w:r>
    </w:p>
    <w:p>
      <w:pPr>
        <w:rPr>
          <w:rFonts w:hint="eastAsia" w:eastAsia="宋体"/>
          <w:b/>
          <w:bCs w:val="0"/>
          <w:i w:val="0"/>
          <w:iCs w:val="0"/>
          <w:lang w:val="en-US" w:eastAsia="zh-CN"/>
        </w:rPr>
      </w:pPr>
      <w:r>
        <w:rPr>
          <w:rFonts w:hint="eastAsia" w:eastAsia="宋体"/>
          <w:b/>
          <w:bCs w:val="0"/>
          <w:i w:val="0"/>
          <w:iCs w:val="0"/>
          <w:lang w:val="en-US" w:eastAsia="zh-CN"/>
        </w:rPr>
        <w:t>Proposal 5: For DSA, support multiple RNTIs based on corresponding time/frequency/code resource information of the replicas respectively.</w:t>
      </w:r>
    </w:p>
    <w:p>
      <w:pPr>
        <w:pStyle w:val="4"/>
        <w:keepNext/>
        <w:keepLines/>
        <w:pageBreakBefore w:val="0"/>
        <w:widowControl/>
        <w:numPr>
          <w:ilvl w:val="1"/>
          <w:numId w:val="0"/>
        </w:numPr>
        <w:kinsoku/>
        <w:wordWrap/>
        <w:overflowPunct w:val="0"/>
        <w:topLinePunct w:val="0"/>
        <w:autoSpaceDE w:val="0"/>
        <w:autoSpaceDN w:val="0"/>
        <w:bidi w:val="0"/>
        <w:adjustRightInd w:val="0"/>
        <w:snapToGrid/>
        <w:ind w:left="142" w:leftChars="0"/>
        <w:textAlignment w:val="baseline"/>
        <w:outlineLvl w:val="2"/>
        <w:rPr>
          <w:rFonts w:hint="default" w:eastAsiaTheme="minorEastAsia"/>
          <w:b/>
          <w:bCs/>
          <w:sz w:val="24"/>
          <w:szCs w:val="24"/>
          <w:u w:val="none"/>
          <w:lang w:val="en-US" w:eastAsia="zh-CN"/>
        </w:rPr>
      </w:pPr>
      <w:r>
        <w:rPr>
          <w:rFonts w:hint="eastAsia" w:eastAsiaTheme="minorEastAsia"/>
          <w:b/>
          <w:bCs/>
          <w:sz w:val="24"/>
          <w:szCs w:val="24"/>
          <w:u w:val="none"/>
          <w:lang w:val="en-US" w:eastAsia="zh-CN"/>
        </w:rPr>
        <w:t>2.2.3 Efficient delivery of Msg4</w:t>
      </w:r>
    </w:p>
    <w:p>
      <w:pPr>
        <w:rPr>
          <w:rFonts w:hint="eastAsia" w:eastAsia="宋体"/>
          <w:b w:val="0"/>
          <w:bCs/>
          <w:i w:val="0"/>
          <w:iCs w:val="0"/>
          <w:lang w:val="en-US" w:eastAsia="zh-CN"/>
        </w:rPr>
      </w:pPr>
      <w:r>
        <w:rPr>
          <w:rFonts w:hint="eastAsia" w:eastAsia="宋体"/>
          <w:b w:val="0"/>
          <w:bCs/>
          <w:i w:val="0"/>
          <w:iCs w:val="0"/>
          <w:lang w:val="en-US" w:eastAsia="zh-CN"/>
        </w:rPr>
        <w:t xml:space="preserve">In last meeting we have made a WA that one CB-Msg4 can target multiple UEs simultaneously (FFS on the details). For efficient delivery of CB-Msg4, it could just include multiple Contention Resolution Identities corresponding to different UEs in one CB-msg4. </w:t>
      </w:r>
    </w:p>
    <w:p>
      <w:pPr>
        <w:rPr>
          <w:rFonts w:hint="eastAsia" w:eastAsia="宋体"/>
          <w:b/>
          <w:bCs w:val="0"/>
          <w:i w:val="0"/>
          <w:iCs w:val="0"/>
          <w:lang w:val="en-US" w:eastAsia="zh-CN"/>
        </w:rPr>
      </w:pPr>
      <w:r>
        <w:rPr>
          <w:rFonts w:hint="eastAsia" w:eastAsia="宋体"/>
          <w:b/>
          <w:bCs w:val="0"/>
          <w:i w:val="0"/>
          <w:iCs w:val="0"/>
          <w:lang w:val="en-US" w:eastAsia="zh-CN"/>
        </w:rPr>
        <w:t>Proposal 6: Include multiple Contention Resolution Identities corresponding to different UEs in one CB-msg4.</w:t>
      </w:r>
    </w:p>
    <w:p>
      <w:pPr>
        <w:pStyle w:val="3"/>
        <w:bidi w:val="0"/>
        <w:rPr>
          <w:rFonts w:hint="default" w:eastAsia="宋体"/>
          <w:b/>
          <w:bCs w:val="0"/>
          <w:i w:val="0"/>
          <w:iCs w:val="0"/>
          <w:sz w:val="24"/>
          <w:szCs w:val="24"/>
          <w:lang w:val="en-US" w:eastAsia="zh-CN"/>
        </w:rPr>
      </w:pPr>
      <w:r>
        <w:rPr>
          <w:rFonts w:hint="eastAsia" w:eastAsia="宋体" w:cs="Arial"/>
          <w:b/>
          <w:bCs/>
          <w:sz w:val="24"/>
          <w:szCs w:val="24"/>
          <w:lang w:val="en-US" w:eastAsia="zh-CN"/>
        </w:rPr>
        <w:t xml:space="preserve"> Fallback mechanism </w:t>
      </w:r>
    </w:p>
    <w:p>
      <w:pPr>
        <w:pStyle w:val="60"/>
        <w:spacing w:after="0"/>
        <w:ind w:left="0" w:firstLine="0"/>
        <w:rPr>
          <w:rFonts w:hint="eastAsia" w:eastAsia="宋体"/>
          <w:lang w:val="en-US" w:eastAsia="zh-CN"/>
        </w:rPr>
      </w:pPr>
      <w:r>
        <w:rPr>
          <w:rFonts w:hint="eastAsia" w:eastAsia="宋体"/>
          <w:lang w:val="en-US" w:eastAsia="zh-CN"/>
        </w:rPr>
        <w:t>Regarding the fallback procedure, there was little discussion in last meeting and come back to this meeting.</w:t>
      </w:r>
    </w:p>
    <w:p>
      <w:pPr>
        <w:pStyle w:val="60"/>
        <w:spacing w:after="0"/>
        <w:ind w:left="0" w:firstLine="0"/>
        <w:rPr>
          <w:rFonts w:hint="default" w:eastAsia="宋体"/>
          <w:bCs/>
          <w:lang w:val="en-US" w:eastAsia="zh-CN"/>
        </w:rPr>
      </w:pPr>
      <w:r>
        <w:rPr>
          <w:rFonts w:hint="eastAsia" w:eastAsia="宋体"/>
          <w:lang w:val="en-US" w:eastAsia="zh-CN"/>
        </w:rPr>
        <w:t>From our perspective, a maximum number of EDT transmissions based on cell specific PUSCH resources</w:t>
      </w:r>
      <w:r>
        <w:rPr>
          <w:rFonts w:hint="eastAsia" w:eastAsiaTheme="minorEastAsia"/>
          <w:b w:val="0"/>
          <w:bCs w:val="0"/>
          <w:sz w:val="20"/>
          <w:szCs w:val="20"/>
          <w:lang w:val="en-US" w:eastAsia="zh-CN"/>
        </w:rPr>
        <w:t xml:space="preserve"> could be defined to avoid the more serious delay caused by too many attempts. If UE attempts up to the </w:t>
      </w:r>
      <w:r>
        <w:rPr>
          <w:rFonts w:hint="eastAsia" w:eastAsia="宋体"/>
          <w:lang w:val="en-US" w:eastAsia="zh-CN"/>
        </w:rPr>
        <w:t>maximum number of EDT transmissions, a fall back mechanism could be considered, i.e., to perform legacy RACH procedure to obtain UL resource.</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7: It is proposed to introduce a maximum number of EDT transmissions based on cell specific PUSCH resources to avoid the more serious delay caused by too many attempts.</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 xml:space="preserve">Proposal 8: If UE attempts up to the maximum number of EDT transmissions, a fall back mechanism 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 xml:space="preserve">EDT </w:t>
      </w:r>
      <w:r>
        <w:rPr>
          <w:rFonts w:hint="eastAsia" w:eastAsiaTheme="minorEastAsia"/>
          <w:sz w:val="20"/>
          <w:szCs w:val="20"/>
          <w:lang w:eastAsia="zh-CN"/>
        </w:rPr>
        <w:t xml:space="preserve">enhancements for </w:t>
      </w:r>
      <w:r>
        <w:rPr>
          <w:rFonts w:hint="eastAsia" w:eastAsiaTheme="minorEastAsia"/>
          <w:sz w:val="20"/>
          <w:szCs w:val="20"/>
          <w:lang w:val="en-US" w:eastAsia="zh-CN"/>
        </w:rPr>
        <w:t>IoT-NTN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 </w:t>
      </w:r>
      <w:r>
        <w:rPr>
          <w:rFonts w:eastAsia="宋体" w:cs="Arial"/>
          <w:sz w:val="20"/>
          <w:szCs w:val="20"/>
        </w:rPr>
        <w:t>proposals:</w:t>
      </w:r>
    </w:p>
    <w:p>
      <w:pPr>
        <w:pStyle w:val="60"/>
        <w:spacing w:after="0"/>
        <w:ind w:left="0" w:firstLine="0"/>
        <w:rPr>
          <w:rFonts w:hint="eastAsia" w:eastAsiaTheme="minorEastAsia"/>
          <w:b w:val="0"/>
          <w:bCs w:val="0"/>
          <w:sz w:val="20"/>
          <w:szCs w:val="20"/>
          <w:lang w:val="en-US" w:eastAsia="zh-CN"/>
        </w:rPr>
      </w:pPr>
      <w:r>
        <w:rPr>
          <w:rFonts w:hint="eastAsia" w:eastAsiaTheme="minorEastAsia"/>
          <w:b/>
          <w:bCs/>
          <w:sz w:val="20"/>
          <w:szCs w:val="20"/>
          <w:lang w:val="en-US" w:eastAsia="zh-CN"/>
        </w:rPr>
        <w:t>Proposal 1: Provide different RSRP ranges for CB-msg3 with and without OCC respectively. And only when corresponding RSRP condition is fulfilled, CB-msg3 combined with OCC could be used.</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Proposal 2: Support dedicated signaling to configure the TA validation parameters (e.g. TAT timer at least) for 15kHz SCS NB-IoT and eMTC CE mode B.</w:t>
      </w:r>
    </w:p>
    <w:p>
      <w:pPr>
        <w:rPr>
          <w:rFonts w:hint="default" w:eastAsia="宋体"/>
          <w:b/>
          <w:bCs w:val="0"/>
          <w:i w:val="0"/>
          <w:iCs w:val="0"/>
          <w:lang w:val="en-US" w:eastAsia="zh-CN"/>
        </w:rPr>
      </w:pPr>
      <w:r>
        <w:rPr>
          <w:rFonts w:hint="eastAsia" w:eastAsia="宋体"/>
          <w:b/>
          <w:bCs w:val="0"/>
          <w:i w:val="0"/>
          <w:iCs w:val="0"/>
          <w:lang w:val="en-US" w:eastAsia="zh-CN"/>
        </w:rPr>
        <w:t>Proposal 3: Reuse existing configuration solution, that is provide maximum TBS per CE level, and whether configure same maximum TBS value for different CE level is up to network configuration.</w:t>
      </w:r>
    </w:p>
    <w:p>
      <w:pPr>
        <w:rPr>
          <w:rFonts w:hint="default" w:eastAsia="宋体"/>
          <w:b/>
          <w:bCs w:val="0"/>
          <w:i w:val="0"/>
          <w:iCs w:val="0"/>
          <w:lang w:val="en-US" w:eastAsia="zh-CN"/>
        </w:rPr>
      </w:pPr>
      <w:r>
        <w:rPr>
          <w:rFonts w:hint="eastAsia" w:eastAsia="宋体"/>
          <w:b/>
          <w:bCs w:val="0"/>
          <w:i w:val="0"/>
          <w:iCs w:val="0"/>
          <w:lang w:val="en-US" w:eastAsia="zh-CN"/>
        </w:rPr>
        <w:t>Observation 1: For multiple window (i.e. one window per each replica) solution, it would help to reduce the power consumption especially when the interval between the windows is long, and the monitoring complexity on the UE side is not so high.</w:t>
      </w:r>
    </w:p>
    <w:p>
      <w:pPr>
        <w:rPr>
          <w:rFonts w:hint="default" w:eastAsia="宋体"/>
          <w:b w:val="0"/>
          <w:bCs/>
          <w:i w:val="0"/>
          <w:iCs w:val="0"/>
          <w:lang w:val="en-US" w:eastAsia="zh-CN"/>
        </w:rPr>
      </w:pPr>
      <w:r>
        <w:rPr>
          <w:rFonts w:hint="eastAsia" w:eastAsia="宋体"/>
          <w:b/>
          <w:bCs w:val="0"/>
          <w:i w:val="0"/>
          <w:iCs w:val="0"/>
          <w:lang w:val="en-US" w:eastAsia="zh-CN"/>
        </w:rPr>
        <w:t>Proposal 4: Support multiple PDCCH monitoring windows for DSA case.</w:t>
      </w:r>
    </w:p>
    <w:p>
      <w:pPr>
        <w:rPr>
          <w:rFonts w:hint="default" w:eastAsia="宋体"/>
          <w:b/>
          <w:bCs w:val="0"/>
          <w:i w:val="0"/>
          <w:iCs w:val="0"/>
          <w:lang w:val="en-US" w:eastAsia="zh-CN"/>
        </w:rPr>
      </w:pPr>
      <w:r>
        <w:rPr>
          <w:rFonts w:hint="eastAsia" w:eastAsia="宋体"/>
          <w:b/>
          <w:bCs w:val="0"/>
          <w:i w:val="0"/>
          <w:iCs w:val="0"/>
          <w:lang w:val="en-US" w:eastAsia="zh-CN"/>
        </w:rPr>
        <w:t>Observation 2 : For single RNTI, it may be difficult to design the common RNTI associated with the PUSCH transmission resources of multiple replicas.</w:t>
      </w:r>
    </w:p>
    <w:p>
      <w:pPr>
        <w:rPr>
          <w:rFonts w:hint="eastAsia" w:eastAsia="宋体"/>
          <w:b/>
          <w:bCs w:val="0"/>
          <w:i w:val="0"/>
          <w:iCs w:val="0"/>
          <w:lang w:val="en-US" w:eastAsia="zh-CN"/>
        </w:rPr>
      </w:pPr>
      <w:r>
        <w:rPr>
          <w:rFonts w:hint="eastAsia" w:eastAsia="宋体"/>
          <w:b/>
          <w:bCs w:val="0"/>
          <w:i w:val="0"/>
          <w:iCs w:val="0"/>
          <w:lang w:val="en-US" w:eastAsia="zh-CN"/>
        </w:rPr>
        <w:t>Proposal 5: For DSA, support multiple RNTIs based on corresponding time/frequency/code resource information of the replicas respectively.</w:t>
      </w:r>
    </w:p>
    <w:p>
      <w:pPr>
        <w:rPr>
          <w:rFonts w:hint="eastAsia" w:eastAsia="宋体"/>
          <w:b/>
          <w:bCs w:val="0"/>
          <w:i w:val="0"/>
          <w:iCs w:val="0"/>
          <w:lang w:val="en-US" w:eastAsia="zh-CN"/>
        </w:rPr>
      </w:pPr>
      <w:r>
        <w:rPr>
          <w:rFonts w:hint="eastAsia" w:eastAsia="宋体"/>
          <w:b/>
          <w:bCs w:val="0"/>
          <w:i w:val="0"/>
          <w:iCs w:val="0"/>
          <w:lang w:val="en-US" w:eastAsia="zh-CN"/>
        </w:rPr>
        <w:t>Proposal 6: Include multiple Contention Resolution Identities corresponding to different UEs in one CB-msg4.</w:t>
      </w:r>
    </w:p>
    <w:p>
      <w:pPr>
        <w:pStyle w:val="60"/>
        <w:spacing w:after="0"/>
        <w:ind w:left="0" w:firstLine="0"/>
        <w:rPr>
          <w:rFonts w:hint="eastAsia" w:eastAsia="宋体"/>
          <w:b/>
          <w:bCs w:val="0"/>
          <w:i w:val="0"/>
          <w:iCs w:val="0"/>
          <w:lang w:val="en-US" w:eastAsia="zh-CN"/>
        </w:rPr>
      </w:pPr>
      <w:r>
        <w:rPr>
          <w:rFonts w:hint="eastAsia" w:eastAsia="宋体"/>
          <w:b/>
          <w:bCs w:val="0"/>
          <w:i w:val="0"/>
          <w:iCs w:val="0"/>
          <w:lang w:val="en-US" w:eastAsia="zh-CN"/>
        </w:rPr>
        <w:t>Proposal 7: It is proposed to introduce a maximum number of EDT transmissions based on cell specific PUSCH resources to avoid the more serious delay caused by too many attempts.</w:t>
      </w:r>
    </w:p>
    <w:p>
      <w:pPr>
        <w:pStyle w:val="60"/>
        <w:spacing w:after="0"/>
        <w:ind w:left="0" w:firstLine="0"/>
        <w:rPr>
          <w:rFonts w:hint="default" w:eastAsia="宋体"/>
          <w:b/>
          <w:bCs w:val="0"/>
          <w:i w:val="0"/>
          <w:iCs w:val="0"/>
          <w:lang w:val="en-US" w:eastAsia="zh-CN"/>
        </w:rPr>
      </w:pPr>
      <w:r>
        <w:rPr>
          <w:rFonts w:hint="eastAsia" w:eastAsia="宋体"/>
          <w:b/>
          <w:bCs w:val="0"/>
          <w:i w:val="0"/>
          <w:iCs w:val="0"/>
          <w:lang w:val="en-US" w:eastAsia="zh-CN"/>
        </w:rPr>
        <w:t xml:space="preserve">Proposal 8: If UE attempts up to the maximum number of EDT transmissions, a fall back mechanism could be considered, </w:t>
      </w:r>
      <w:r>
        <w:rPr>
          <w:rFonts w:hint="eastAsia" w:eastAsia="宋体"/>
          <w:b/>
          <w:bCs w:val="0"/>
          <w:lang w:val="en-US" w:eastAsia="zh-CN"/>
        </w:rPr>
        <w:t>i.e.,</w:t>
      </w:r>
      <w:r>
        <w:rPr>
          <w:rFonts w:hint="eastAsia" w:eastAsia="宋体"/>
          <w:b/>
          <w:bCs w:val="0"/>
          <w:i w:val="0"/>
          <w:iCs w:val="0"/>
          <w:lang w:val="en-US" w:eastAsia="zh-CN"/>
        </w:rPr>
        <w:t xml:space="preserve"> to perform legacy RACH procedure to obtain UL resource.</w:t>
      </w:r>
    </w:p>
    <w:p>
      <w:pPr>
        <w:pStyle w:val="2"/>
        <w:rPr>
          <w:rFonts w:cs="Arial"/>
          <w:sz w:val="32"/>
          <w:szCs w:val="32"/>
        </w:rPr>
      </w:pPr>
      <w:r>
        <w:rPr>
          <w:rFonts w:cs="Arial"/>
          <w:sz w:val="32"/>
          <w:szCs w:val="32"/>
        </w:rPr>
        <w:t>Reference</w:t>
      </w:r>
    </w:p>
    <w:p>
      <w:pPr>
        <w:pStyle w:val="27"/>
        <w:numPr>
          <w:ilvl w:val="0"/>
          <w:numId w:val="12"/>
        </w:numPr>
        <w:overflowPunct/>
        <w:autoSpaceDE/>
        <w:autoSpaceDN/>
        <w:adjustRightInd/>
        <w:spacing w:beforeLines="50" w:after="0"/>
        <w:jc w:val="left"/>
        <w:textAlignment w:val="auto"/>
        <w:rPr>
          <w:rFonts w:hint="eastAsia"/>
          <w:sz w:val="20"/>
          <w:szCs w:val="20"/>
        </w:rPr>
      </w:pPr>
      <w:bookmarkStart w:id="12" w:name="_In-sequence_SDU_delivery"/>
      <w:bookmarkEnd w:id="12"/>
      <w:r>
        <w:rPr>
          <w:rFonts w:hint="eastAsia"/>
          <w:sz w:val="20"/>
          <w:szCs w:val="20"/>
        </w:rPr>
        <w:t>R2-129 NR-NTN-IoT-NTN (Sergio)_ EOM</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Draft R2-250xxxx Post129_307_R19 IoT NTN CB-msg3_v19_Rapp</w:t>
      </w:r>
    </w:p>
    <w:p>
      <w:pPr>
        <w:pStyle w:val="27"/>
        <w:numPr>
          <w:ilvl w:val="0"/>
          <w:numId w:val="12"/>
        </w:numPr>
        <w:overflowPunct/>
        <w:autoSpaceDE/>
        <w:autoSpaceDN/>
        <w:adjustRightInd/>
        <w:spacing w:beforeLines="50" w:after="0"/>
        <w:jc w:val="left"/>
        <w:textAlignment w:val="auto"/>
        <w:rPr>
          <w:rFonts w:hint="eastAsia"/>
          <w:sz w:val="20"/>
          <w:szCs w:val="20"/>
        </w:rPr>
      </w:pPr>
      <w:r>
        <w:rPr>
          <w:rFonts w:hint="eastAsia"/>
          <w:sz w:val="20"/>
          <w:szCs w:val="20"/>
        </w:rPr>
        <w:t>3GPP TS 36.300 V18.</w:t>
      </w:r>
      <w:r>
        <w:rPr>
          <w:rFonts w:hint="eastAsia" w:eastAsia="宋体"/>
          <w:sz w:val="20"/>
          <w:szCs w:val="20"/>
          <w:lang w:val="en-US" w:eastAsia="zh-CN"/>
        </w:rPr>
        <w:t>1</w:t>
      </w:r>
      <w:r>
        <w:rPr>
          <w:rFonts w:hint="eastAsia"/>
          <w:sz w:val="20"/>
          <w:szCs w:val="20"/>
        </w:rPr>
        <w:t>.0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C31301E"/>
    <w:multiLevelType w:val="multilevel"/>
    <w:tmpl w:val="1C31301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073A8"/>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4AF"/>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1AB"/>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036AA"/>
    <w:rsid w:val="015A44F2"/>
    <w:rsid w:val="015B631E"/>
    <w:rsid w:val="015E6B3B"/>
    <w:rsid w:val="016318F9"/>
    <w:rsid w:val="017A73D0"/>
    <w:rsid w:val="018E0749"/>
    <w:rsid w:val="019A10AD"/>
    <w:rsid w:val="01BF172D"/>
    <w:rsid w:val="01E74520"/>
    <w:rsid w:val="02252FA1"/>
    <w:rsid w:val="022F4B03"/>
    <w:rsid w:val="02744528"/>
    <w:rsid w:val="02877C19"/>
    <w:rsid w:val="02883D06"/>
    <w:rsid w:val="028D67E7"/>
    <w:rsid w:val="02CC0A1F"/>
    <w:rsid w:val="02D27F6C"/>
    <w:rsid w:val="035845AA"/>
    <w:rsid w:val="03A11802"/>
    <w:rsid w:val="03F47F88"/>
    <w:rsid w:val="0416334A"/>
    <w:rsid w:val="047B67D9"/>
    <w:rsid w:val="048A5003"/>
    <w:rsid w:val="04A13B04"/>
    <w:rsid w:val="04B403C6"/>
    <w:rsid w:val="04BC080F"/>
    <w:rsid w:val="04BF107F"/>
    <w:rsid w:val="04D25727"/>
    <w:rsid w:val="04DA176A"/>
    <w:rsid w:val="04F07943"/>
    <w:rsid w:val="04F50E2F"/>
    <w:rsid w:val="051D3A75"/>
    <w:rsid w:val="05606A49"/>
    <w:rsid w:val="05983EBC"/>
    <w:rsid w:val="05A35E9B"/>
    <w:rsid w:val="06077EDA"/>
    <w:rsid w:val="06254DA5"/>
    <w:rsid w:val="06261BBF"/>
    <w:rsid w:val="0654248D"/>
    <w:rsid w:val="06565EAE"/>
    <w:rsid w:val="06724B04"/>
    <w:rsid w:val="07046057"/>
    <w:rsid w:val="078B43FE"/>
    <w:rsid w:val="078C1F33"/>
    <w:rsid w:val="07B241B1"/>
    <w:rsid w:val="07B959B1"/>
    <w:rsid w:val="07BD374D"/>
    <w:rsid w:val="07E007E1"/>
    <w:rsid w:val="07E769A5"/>
    <w:rsid w:val="07EF7893"/>
    <w:rsid w:val="08350D3C"/>
    <w:rsid w:val="083F0917"/>
    <w:rsid w:val="0841118C"/>
    <w:rsid w:val="08AF444E"/>
    <w:rsid w:val="08D13662"/>
    <w:rsid w:val="08F65DA6"/>
    <w:rsid w:val="09133D3D"/>
    <w:rsid w:val="09BB5B6F"/>
    <w:rsid w:val="09BD14D1"/>
    <w:rsid w:val="09E47F26"/>
    <w:rsid w:val="09F46CE4"/>
    <w:rsid w:val="0A1A51CE"/>
    <w:rsid w:val="0A3F21EB"/>
    <w:rsid w:val="0A5E59A5"/>
    <w:rsid w:val="0A9049CA"/>
    <w:rsid w:val="0A9740DA"/>
    <w:rsid w:val="0AA40C7E"/>
    <w:rsid w:val="0ACC0F45"/>
    <w:rsid w:val="0ACC7712"/>
    <w:rsid w:val="0B263982"/>
    <w:rsid w:val="0B4A1814"/>
    <w:rsid w:val="0B510D2F"/>
    <w:rsid w:val="0B767B3C"/>
    <w:rsid w:val="0BC00CC2"/>
    <w:rsid w:val="0BC8278A"/>
    <w:rsid w:val="0BCF37C5"/>
    <w:rsid w:val="0BD60B5C"/>
    <w:rsid w:val="0C0E133A"/>
    <w:rsid w:val="0C4B2410"/>
    <w:rsid w:val="0C583F4F"/>
    <w:rsid w:val="0C984883"/>
    <w:rsid w:val="0CAE5B2E"/>
    <w:rsid w:val="0CB9526E"/>
    <w:rsid w:val="0CCB1DB0"/>
    <w:rsid w:val="0CD409FF"/>
    <w:rsid w:val="0D154957"/>
    <w:rsid w:val="0D4603FC"/>
    <w:rsid w:val="0D524167"/>
    <w:rsid w:val="0D587FCA"/>
    <w:rsid w:val="0D681ED9"/>
    <w:rsid w:val="0D6C179F"/>
    <w:rsid w:val="0DA013F6"/>
    <w:rsid w:val="0DC805D0"/>
    <w:rsid w:val="0DDB664A"/>
    <w:rsid w:val="0DF76F61"/>
    <w:rsid w:val="0E336CD8"/>
    <w:rsid w:val="0E794941"/>
    <w:rsid w:val="0E891356"/>
    <w:rsid w:val="0E997EF0"/>
    <w:rsid w:val="0E9F5DF3"/>
    <w:rsid w:val="0EC440FF"/>
    <w:rsid w:val="0EF139CD"/>
    <w:rsid w:val="0F20565C"/>
    <w:rsid w:val="0F583308"/>
    <w:rsid w:val="0F677C8C"/>
    <w:rsid w:val="0FB354FB"/>
    <w:rsid w:val="0FCC0A5A"/>
    <w:rsid w:val="0FE0018D"/>
    <w:rsid w:val="0FE60171"/>
    <w:rsid w:val="101429FA"/>
    <w:rsid w:val="10221AC0"/>
    <w:rsid w:val="108131DD"/>
    <w:rsid w:val="108B7105"/>
    <w:rsid w:val="109D3DB9"/>
    <w:rsid w:val="10A83D36"/>
    <w:rsid w:val="10D43ED3"/>
    <w:rsid w:val="11043CD0"/>
    <w:rsid w:val="110F10D1"/>
    <w:rsid w:val="114015F3"/>
    <w:rsid w:val="118D209C"/>
    <w:rsid w:val="11B82D63"/>
    <w:rsid w:val="11BC1B28"/>
    <w:rsid w:val="11C5063A"/>
    <w:rsid w:val="123A4B72"/>
    <w:rsid w:val="123B45F5"/>
    <w:rsid w:val="12980C87"/>
    <w:rsid w:val="12B27083"/>
    <w:rsid w:val="12BA7EC6"/>
    <w:rsid w:val="12C17224"/>
    <w:rsid w:val="12D20EAC"/>
    <w:rsid w:val="13116F0E"/>
    <w:rsid w:val="13132FCE"/>
    <w:rsid w:val="13420F11"/>
    <w:rsid w:val="134A0035"/>
    <w:rsid w:val="135C7F4F"/>
    <w:rsid w:val="1382544E"/>
    <w:rsid w:val="13997B36"/>
    <w:rsid w:val="141B1C76"/>
    <w:rsid w:val="14554736"/>
    <w:rsid w:val="14A20FFB"/>
    <w:rsid w:val="14B82DC6"/>
    <w:rsid w:val="14C758A8"/>
    <w:rsid w:val="153214F9"/>
    <w:rsid w:val="153372CB"/>
    <w:rsid w:val="15C978C2"/>
    <w:rsid w:val="16150148"/>
    <w:rsid w:val="16364236"/>
    <w:rsid w:val="16563130"/>
    <w:rsid w:val="169343E9"/>
    <w:rsid w:val="16A42650"/>
    <w:rsid w:val="16AA08E2"/>
    <w:rsid w:val="16B421B4"/>
    <w:rsid w:val="16E648E1"/>
    <w:rsid w:val="16E779EB"/>
    <w:rsid w:val="16F24CA6"/>
    <w:rsid w:val="171A035F"/>
    <w:rsid w:val="171B31CF"/>
    <w:rsid w:val="177E36D0"/>
    <w:rsid w:val="179450F0"/>
    <w:rsid w:val="17945CA4"/>
    <w:rsid w:val="180E362D"/>
    <w:rsid w:val="181B2E1C"/>
    <w:rsid w:val="1831173C"/>
    <w:rsid w:val="18571522"/>
    <w:rsid w:val="18571828"/>
    <w:rsid w:val="18787128"/>
    <w:rsid w:val="18B278BB"/>
    <w:rsid w:val="18B9619D"/>
    <w:rsid w:val="18E402E6"/>
    <w:rsid w:val="18FA292B"/>
    <w:rsid w:val="190A668D"/>
    <w:rsid w:val="191242AE"/>
    <w:rsid w:val="192472E7"/>
    <w:rsid w:val="195B3A6D"/>
    <w:rsid w:val="19766DFD"/>
    <w:rsid w:val="19AC5C42"/>
    <w:rsid w:val="19BC1AC5"/>
    <w:rsid w:val="19D92839"/>
    <w:rsid w:val="1A097878"/>
    <w:rsid w:val="1A201089"/>
    <w:rsid w:val="1A330485"/>
    <w:rsid w:val="1A520606"/>
    <w:rsid w:val="1A8123C9"/>
    <w:rsid w:val="1A913825"/>
    <w:rsid w:val="1A937926"/>
    <w:rsid w:val="1AA366F2"/>
    <w:rsid w:val="1AC82085"/>
    <w:rsid w:val="1AE060D9"/>
    <w:rsid w:val="1AEF5DBD"/>
    <w:rsid w:val="1B244200"/>
    <w:rsid w:val="1B423649"/>
    <w:rsid w:val="1B510746"/>
    <w:rsid w:val="1B6D3DE5"/>
    <w:rsid w:val="1B7D0451"/>
    <w:rsid w:val="1BA24967"/>
    <w:rsid w:val="1BD95F94"/>
    <w:rsid w:val="1BDA5141"/>
    <w:rsid w:val="1C227D6B"/>
    <w:rsid w:val="1C3D1CD0"/>
    <w:rsid w:val="1C5906B1"/>
    <w:rsid w:val="1C5E7298"/>
    <w:rsid w:val="1C851710"/>
    <w:rsid w:val="1C917FBA"/>
    <w:rsid w:val="1CE6681A"/>
    <w:rsid w:val="1D080ABD"/>
    <w:rsid w:val="1D232F19"/>
    <w:rsid w:val="1D33546C"/>
    <w:rsid w:val="1D586DE4"/>
    <w:rsid w:val="1DAF6046"/>
    <w:rsid w:val="1DD14FB1"/>
    <w:rsid w:val="1DDD518B"/>
    <w:rsid w:val="1E1507D7"/>
    <w:rsid w:val="1E3072B7"/>
    <w:rsid w:val="1E3A3085"/>
    <w:rsid w:val="1E403C53"/>
    <w:rsid w:val="1EA20D4A"/>
    <w:rsid w:val="1EAA6DF5"/>
    <w:rsid w:val="1ECC19F8"/>
    <w:rsid w:val="1EFF6958"/>
    <w:rsid w:val="1F0926FA"/>
    <w:rsid w:val="1F0A1209"/>
    <w:rsid w:val="1F734328"/>
    <w:rsid w:val="1F837506"/>
    <w:rsid w:val="1FA11974"/>
    <w:rsid w:val="1FAE283E"/>
    <w:rsid w:val="1FB32543"/>
    <w:rsid w:val="1FC14404"/>
    <w:rsid w:val="20203DE8"/>
    <w:rsid w:val="2031215C"/>
    <w:rsid w:val="204E000A"/>
    <w:rsid w:val="20764B90"/>
    <w:rsid w:val="20955704"/>
    <w:rsid w:val="20DB7C51"/>
    <w:rsid w:val="20E9518E"/>
    <w:rsid w:val="20E96FA9"/>
    <w:rsid w:val="20FE42D5"/>
    <w:rsid w:val="211313D4"/>
    <w:rsid w:val="21234291"/>
    <w:rsid w:val="21E52206"/>
    <w:rsid w:val="21F86645"/>
    <w:rsid w:val="22B67B93"/>
    <w:rsid w:val="22C4562D"/>
    <w:rsid w:val="22ED3D4D"/>
    <w:rsid w:val="23144387"/>
    <w:rsid w:val="234E7F45"/>
    <w:rsid w:val="23686144"/>
    <w:rsid w:val="23734838"/>
    <w:rsid w:val="239A17D4"/>
    <w:rsid w:val="239F51B6"/>
    <w:rsid w:val="23B53D5F"/>
    <w:rsid w:val="241B2FD5"/>
    <w:rsid w:val="241B76CB"/>
    <w:rsid w:val="242445BB"/>
    <w:rsid w:val="243F039F"/>
    <w:rsid w:val="245B6D34"/>
    <w:rsid w:val="24641BC2"/>
    <w:rsid w:val="24A52F19"/>
    <w:rsid w:val="24A83609"/>
    <w:rsid w:val="24AE0DF0"/>
    <w:rsid w:val="24B5447A"/>
    <w:rsid w:val="24B82068"/>
    <w:rsid w:val="24E10292"/>
    <w:rsid w:val="25043CC9"/>
    <w:rsid w:val="251B6678"/>
    <w:rsid w:val="253F619D"/>
    <w:rsid w:val="260F2F48"/>
    <w:rsid w:val="26164BD6"/>
    <w:rsid w:val="26281CED"/>
    <w:rsid w:val="265D0D96"/>
    <w:rsid w:val="267E798D"/>
    <w:rsid w:val="269447EB"/>
    <w:rsid w:val="26A83741"/>
    <w:rsid w:val="26D47A62"/>
    <w:rsid w:val="270B158D"/>
    <w:rsid w:val="27306E68"/>
    <w:rsid w:val="27606908"/>
    <w:rsid w:val="276D70AB"/>
    <w:rsid w:val="277E77C1"/>
    <w:rsid w:val="27936CC4"/>
    <w:rsid w:val="27AE47D9"/>
    <w:rsid w:val="27BA14D2"/>
    <w:rsid w:val="27E26E59"/>
    <w:rsid w:val="2809471B"/>
    <w:rsid w:val="281C1CDD"/>
    <w:rsid w:val="28255BB3"/>
    <w:rsid w:val="282B0C73"/>
    <w:rsid w:val="285478B9"/>
    <w:rsid w:val="28603CA4"/>
    <w:rsid w:val="287D5E75"/>
    <w:rsid w:val="28853060"/>
    <w:rsid w:val="28901C9C"/>
    <w:rsid w:val="28AD0B61"/>
    <w:rsid w:val="29395F5F"/>
    <w:rsid w:val="29423CBE"/>
    <w:rsid w:val="29CD3FA9"/>
    <w:rsid w:val="2A1862C4"/>
    <w:rsid w:val="2A216EA5"/>
    <w:rsid w:val="2A4B23FB"/>
    <w:rsid w:val="2A4E733E"/>
    <w:rsid w:val="2A552F13"/>
    <w:rsid w:val="2AB1519A"/>
    <w:rsid w:val="2AC455D6"/>
    <w:rsid w:val="2AC82235"/>
    <w:rsid w:val="2ADF5799"/>
    <w:rsid w:val="2AF0613E"/>
    <w:rsid w:val="2B083F92"/>
    <w:rsid w:val="2B542A45"/>
    <w:rsid w:val="2BAB4C9B"/>
    <w:rsid w:val="2BB96BD3"/>
    <w:rsid w:val="2BBD0B4F"/>
    <w:rsid w:val="2BC72D99"/>
    <w:rsid w:val="2BE54292"/>
    <w:rsid w:val="2BFC2B9D"/>
    <w:rsid w:val="2C285659"/>
    <w:rsid w:val="2C2D46CF"/>
    <w:rsid w:val="2C386CC6"/>
    <w:rsid w:val="2C9F2631"/>
    <w:rsid w:val="2CAF71DE"/>
    <w:rsid w:val="2CF51ED1"/>
    <w:rsid w:val="2CF92978"/>
    <w:rsid w:val="2CFA23BD"/>
    <w:rsid w:val="2D1D15EF"/>
    <w:rsid w:val="2D285AA4"/>
    <w:rsid w:val="2D357D16"/>
    <w:rsid w:val="2D3B228A"/>
    <w:rsid w:val="2D49791E"/>
    <w:rsid w:val="2D5923F4"/>
    <w:rsid w:val="2D8523AE"/>
    <w:rsid w:val="2D9E1569"/>
    <w:rsid w:val="2D9F7C96"/>
    <w:rsid w:val="2DB6192E"/>
    <w:rsid w:val="2DBE4358"/>
    <w:rsid w:val="2DF36570"/>
    <w:rsid w:val="2E103F98"/>
    <w:rsid w:val="2E32053F"/>
    <w:rsid w:val="2EB775B3"/>
    <w:rsid w:val="2ECD5251"/>
    <w:rsid w:val="2EE85B84"/>
    <w:rsid w:val="2EF94A67"/>
    <w:rsid w:val="2EFC31BC"/>
    <w:rsid w:val="2F2F4C2C"/>
    <w:rsid w:val="2F3D4E71"/>
    <w:rsid w:val="302E07AF"/>
    <w:rsid w:val="30866EAA"/>
    <w:rsid w:val="30946552"/>
    <w:rsid w:val="309E20B5"/>
    <w:rsid w:val="30F3431F"/>
    <w:rsid w:val="311B0263"/>
    <w:rsid w:val="31503E5A"/>
    <w:rsid w:val="316D7D0D"/>
    <w:rsid w:val="319D3380"/>
    <w:rsid w:val="31AE180F"/>
    <w:rsid w:val="31B859A2"/>
    <w:rsid w:val="32345EC8"/>
    <w:rsid w:val="3262022D"/>
    <w:rsid w:val="326B2AB6"/>
    <w:rsid w:val="32A942B0"/>
    <w:rsid w:val="32F13120"/>
    <w:rsid w:val="33193629"/>
    <w:rsid w:val="333000CE"/>
    <w:rsid w:val="333663A2"/>
    <w:rsid w:val="335B55F1"/>
    <w:rsid w:val="335B7C59"/>
    <w:rsid w:val="33863C3A"/>
    <w:rsid w:val="33A81036"/>
    <w:rsid w:val="33E26367"/>
    <w:rsid w:val="33F614DE"/>
    <w:rsid w:val="34056B80"/>
    <w:rsid w:val="34207E90"/>
    <w:rsid w:val="342C61EA"/>
    <w:rsid w:val="344E25FB"/>
    <w:rsid w:val="3463411E"/>
    <w:rsid w:val="34914DCA"/>
    <w:rsid w:val="34BC2DB9"/>
    <w:rsid w:val="34C07CB8"/>
    <w:rsid w:val="34C6331F"/>
    <w:rsid w:val="34D95BB9"/>
    <w:rsid w:val="34F54AEF"/>
    <w:rsid w:val="34F97D00"/>
    <w:rsid w:val="35050B53"/>
    <w:rsid w:val="354D014F"/>
    <w:rsid w:val="35502BD2"/>
    <w:rsid w:val="356154A3"/>
    <w:rsid w:val="35A10D2D"/>
    <w:rsid w:val="35A35F0C"/>
    <w:rsid w:val="35A43DB0"/>
    <w:rsid w:val="35D052C3"/>
    <w:rsid w:val="361C2353"/>
    <w:rsid w:val="3635547B"/>
    <w:rsid w:val="365C6586"/>
    <w:rsid w:val="366D52F6"/>
    <w:rsid w:val="36746B61"/>
    <w:rsid w:val="368107EA"/>
    <w:rsid w:val="36A9407C"/>
    <w:rsid w:val="36CA7953"/>
    <w:rsid w:val="36FA1D41"/>
    <w:rsid w:val="37164985"/>
    <w:rsid w:val="37C2178A"/>
    <w:rsid w:val="37D61EDD"/>
    <w:rsid w:val="37E26F6D"/>
    <w:rsid w:val="37E93248"/>
    <w:rsid w:val="37F97B97"/>
    <w:rsid w:val="38002E12"/>
    <w:rsid w:val="380411EC"/>
    <w:rsid w:val="380C1A90"/>
    <w:rsid w:val="3829480D"/>
    <w:rsid w:val="383529C2"/>
    <w:rsid w:val="383C5BD0"/>
    <w:rsid w:val="38536D3F"/>
    <w:rsid w:val="387B61F0"/>
    <w:rsid w:val="387D26D9"/>
    <w:rsid w:val="388727CC"/>
    <w:rsid w:val="38922D5C"/>
    <w:rsid w:val="38CE22F4"/>
    <w:rsid w:val="39024B57"/>
    <w:rsid w:val="390C2363"/>
    <w:rsid w:val="39804845"/>
    <w:rsid w:val="39C504E0"/>
    <w:rsid w:val="3A02147B"/>
    <w:rsid w:val="3A06167E"/>
    <w:rsid w:val="3A3665DD"/>
    <w:rsid w:val="3A661625"/>
    <w:rsid w:val="3A6F42D5"/>
    <w:rsid w:val="3A82293D"/>
    <w:rsid w:val="3A9E2AD9"/>
    <w:rsid w:val="3AC57875"/>
    <w:rsid w:val="3AE305E5"/>
    <w:rsid w:val="3AE309A9"/>
    <w:rsid w:val="3AEF40DA"/>
    <w:rsid w:val="3B596DF7"/>
    <w:rsid w:val="3BB05F4E"/>
    <w:rsid w:val="3BC23F1A"/>
    <w:rsid w:val="3BC52C1E"/>
    <w:rsid w:val="3C1C6AA4"/>
    <w:rsid w:val="3C2A7289"/>
    <w:rsid w:val="3C5503C9"/>
    <w:rsid w:val="3C6D30EA"/>
    <w:rsid w:val="3C6D47EB"/>
    <w:rsid w:val="3C9A7896"/>
    <w:rsid w:val="3CCB7AFB"/>
    <w:rsid w:val="3CD8469E"/>
    <w:rsid w:val="3CE24E25"/>
    <w:rsid w:val="3D2C7D07"/>
    <w:rsid w:val="3D2E7413"/>
    <w:rsid w:val="3D406D01"/>
    <w:rsid w:val="3D4E0A24"/>
    <w:rsid w:val="3D5934AC"/>
    <w:rsid w:val="3D966C01"/>
    <w:rsid w:val="3DA51E2F"/>
    <w:rsid w:val="3DB43891"/>
    <w:rsid w:val="3DCE20C0"/>
    <w:rsid w:val="3E0B7BD9"/>
    <w:rsid w:val="3E267F59"/>
    <w:rsid w:val="3E4456FC"/>
    <w:rsid w:val="3EA877DC"/>
    <w:rsid w:val="3ECD0998"/>
    <w:rsid w:val="3F1E12A1"/>
    <w:rsid w:val="3F1F34C2"/>
    <w:rsid w:val="3F7117D8"/>
    <w:rsid w:val="3FEB0FB3"/>
    <w:rsid w:val="40325295"/>
    <w:rsid w:val="407C021F"/>
    <w:rsid w:val="40CC3888"/>
    <w:rsid w:val="40F33173"/>
    <w:rsid w:val="40F82E28"/>
    <w:rsid w:val="40FD409F"/>
    <w:rsid w:val="41585AC3"/>
    <w:rsid w:val="41710521"/>
    <w:rsid w:val="41907B84"/>
    <w:rsid w:val="41B34CCB"/>
    <w:rsid w:val="41C87C60"/>
    <w:rsid w:val="41C96466"/>
    <w:rsid w:val="41CB3970"/>
    <w:rsid w:val="41F85DEA"/>
    <w:rsid w:val="420610DF"/>
    <w:rsid w:val="426E0BA8"/>
    <w:rsid w:val="429544E1"/>
    <w:rsid w:val="42CE6929"/>
    <w:rsid w:val="42F71CEC"/>
    <w:rsid w:val="43A77C24"/>
    <w:rsid w:val="43C65B01"/>
    <w:rsid w:val="43DF4E15"/>
    <w:rsid w:val="43E53BCD"/>
    <w:rsid w:val="43F03364"/>
    <w:rsid w:val="443B107F"/>
    <w:rsid w:val="44776D6B"/>
    <w:rsid w:val="44843D36"/>
    <w:rsid w:val="44B14540"/>
    <w:rsid w:val="44BA04B8"/>
    <w:rsid w:val="44BA7E1E"/>
    <w:rsid w:val="44BE79C3"/>
    <w:rsid w:val="4535668D"/>
    <w:rsid w:val="45394DB9"/>
    <w:rsid w:val="455340E3"/>
    <w:rsid w:val="45711C90"/>
    <w:rsid w:val="45CA31DA"/>
    <w:rsid w:val="45D50D55"/>
    <w:rsid w:val="45EC6821"/>
    <w:rsid w:val="45F303D0"/>
    <w:rsid w:val="45F84858"/>
    <w:rsid w:val="461C7CAF"/>
    <w:rsid w:val="462356B3"/>
    <w:rsid w:val="464004CF"/>
    <w:rsid w:val="4673772B"/>
    <w:rsid w:val="46A55352"/>
    <w:rsid w:val="46AD4DCD"/>
    <w:rsid w:val="46B51FCF"/>
    <w:rsid w:val="46BA0199"/>
    <w:rsid w:val="46FF6AF5"/>
    <w:rsid w:val="47062A9A"/>
    <w:rsid w:val="47105324"/>
    <w:rsid w:val="47472660"/>
    <w:rsid w:val="476E313F"/>
    <w:rsid w:val="47993F84"/>
    <w:rsid w:val="47BD666C"/>
    <w:rsid w:val="47DB6CDA"/>
    <w:rsid w:val="480A17DC"/>
    <w:rsid w:val="4896658D"/>
    <w:rsid w:val="489E3831"/>
    <w:rsid w:val="48F324BB"/>
    <w:rsid w:val="497F7FCC"/>
    <w:rsid w:val="49B17433"/>
    <w:rsid w:val="49BB5658"/>
    <w:rsid w:val="4A284A82"/>
    <w:rsid w:val="4A662E1D"/>
    <w:rsid w:val="4A7E32B4"/>
    <w:rsid w:val="4A87256B"/>
    <w:rsid w:val="4A984665"/>
    <w:rsid w:val="4AF07359"/>
    <w:rsid w:val="4AFC533A"/>
    <w:rsid w:val="4B1367B9"/>
    <w:rsid w:val="4B1A6B3E"/>
    <w:rsid w:val="4B316DE7"/>
    <w:rsid w:val="4B565C38"/>
    <w:rsid w:val="4B6D7831"/>
    <w:rsid w:val="4B6F0508"/>
    <w:rsid w:val="4B8D0855"/>
    <w:rsid w:val="4B920891"/>
    <w:rsid w:val="4B9C680D"/>
    <w:rsid w:val="4BB221B4"/>
    <w:rsid w:val="4BED7351"/>
    <w:rsid w:val="4C1048EF"/>
    <w:rsid w:val="4C1B6FEB"/>
    <w:rsid w:val="4C353BC7"/>
    <w:rsid w:val="4C3B1D32"/>
    <w:rsid w:val="4C513C42"/>
    <w:rsid w:val="4C5D54D6"/>
    <w:rsid w:val="4C7E17F0"/>
    <w:rsid w:val="4C814518"/>
    <w:rsid w:val="4C91315E"/>
    <w:rsid w:val="4CAD0872"/>
    <w:rsid w:val="4CCE50CA"/>
    <w:rsid w:val="4D3A24A4"/>
    <w:rsid w:val="4D3E5E49"/>
    <w:rsid w:val="4D4374BE"/>
    <w:rsid w:val="4D5613EC"/>
    <w:rsid w:val="4D594475"/>
    <w:rsid w:val="4D762F64"/>
    <w:rsid w:val="4DA76772"/>
    <w:rsid w:val="4DB06342"/>
    <w:rsid w:val="4DCA372B"/>
    <w:rsid w:val="4DEC01C6"/>
    <w:rsid w:val="4DF158ED"/>
    <w:rsid w:val="4E0C3478"/>
    <w:rsid w:val="4E207448"/>
    <w:rsid w:val="4E49074A"/>
    <w:rsid w:val="4E4D0205"/>
    <w:rsid w:val="4E6B2029"/>
    <w:rsid w:val="4EC83A06"/>
    <w:rsid w:val="4ED314E6"/>
    <w:rsid w:val="4F1C0A54"/>
    <w:rsid w:val="4F235FC8"/>
    <w:rsid w:val="4F2C3853"/>
    <w:rsid w:val="4F7F20AA"/>
    <w:rsid w:val="4F873909"/>
    <w:rsid w:val="4F9510BA"/>
    <w:rsid w:val="4F9E3A2D"/>
    <w:rsid w:val="4FA843B3"/>
    <w:rsid w:val="4FF617D6"/>
    <w:rsid w:val="50234908"/>
    <w:rsid w:val="50507ECA"/>
    <w:rsid w:val="506B2DFC"/>
    <w:rsid w:val="508F3931"/>
    <w:rsid w:val="50A06038"/>
    <w:rsid w:val="50E64646"/>
    <w:rsid w:val="50EA689B"/>
    <w:rsid w:val="50FC2CFB"/>
    <w:rsid w:val="5124157A"/>
    <w:rsid w:val="513A3326"/>
    <w:rsid w:val="513B4B9D"/>
    <w:rsid w:val="515514FF"/>
    <w:rsid w:val="515C13CF"/>
    <w:rsid w:val="516A6684"/>
    <w:rsid w:val="518C6DB2"/>
    <w:rsid w:val="51AF5989"/>
    <w:rsid w:val="51C51671"/>
    <w:rsid w:val="51E25CE3"/>
    <w:rsid w:val="51E261D3"/>
    <w:rsid w:val="51EA16FB"/>
    <w:rsid w:val="5223684A"/>
    <w:rsid w:val="52840BEF"/>
    <w:rsid w:val="52A32CE7"/>
    <w:rsid w:val="52A955AB"/>
    <w:rsid w:val="532C26FC"/>
    <w:rsid w:val="53322A76"/>
    <w:rsid w:val="53A7747B"/>
    <w:rsid w:val="53C54AA3"/>
    <w:rsid w:val="544C3D0B"/>
    <w:rsid w:val="547F5841"/>
    <w:rsid w:val="548117E3"/>
    <w:rsid w:val="548F0320"/>
    <w:rsid w:val="54A648D1"/>
    <w:rsid w:val="54D81A93"/>
    <w:rsid w:val="54DB29BD"/>
    <w:rsid w:val="54E44ED6"/>
    <w:rsid w:val="54F14C14"/>
    <w:rsid w:val="5529069B"/>
    <w:rsid w:val="55571991"/>
    <w:rsid w:val="558209AD"/>
    <w:rsid w:val="56612A75"/>
    <w:rsid w:val="566931AC"/>
    <w:rsid w:val="56854B68"/>
    <w:rsid w:val="56B17CE2"/>
    <w:rsid w:val="56F374FB"/>
    <w:rsid w:val="571C1A53"/>
    <w:rsid w:val="5738401A"/>
    <w:rsid w:val="57613A81"/>
    <w:rsid w:val="577E4EC0"/>
    <w:rsid w:val="57B21D48"/>
    <w:rsid w:val="57B57C15"/>
    <w:rsid w:val="57D83FAF"/>
    <w:rsid w:val="58450E51"/>
    <w:rsid w:val="58532B7C"/>
    <w:rsid w:val="58D81F5B"/>
    <w:rsid w:val="592D06A1"/>
    <w:rsid w:val="59620232"/>
    <w:rsid w:val="59A00F56"/>
    <w:rsid w:val="59B24039"/>
    <w:rsid w:val="59DA5A4F"/>
    <w:rsid w:val="5A08392B"/>
    <w:rsid w:val="5A31005C"/>
    <w:rsid w:val="5A3D3D8A"/>
    <w:rsid w:val="5A637CC1"/>
    <w:rsid w:val="5AE55CE6"/>
    <w:rsid w:val="5AED713C"/>
    <w:rsid w:val="5B0260D0"/>
    <w:rsid w:val="5B1B09BE"/>
    <w:rsid w:val="5B3D7266"/>
    <w:rsid w:val="5B723495"/>
    <w:rsid w:val="5B8D1AC1"/>
    <w:rsid w:val="5BA3592C"/>
    <w:rsid w:val="5BAB7539"/>
    <w:rsid w:val="5BCE0DEA"/>
    <w:rsid w:val="5BD42235"/>
    <w:rsid w:val="5C0C620E"/>
    <w:rsid w:val="5C610721"/>
    <w:rsid w:val="5C8B6FF1"/>
    <w:rsid w:val="5CFE4143"/>
    <w:rsid w:val="5D13255A"/>
    <w:rsid w:val="5D331782"/>
    <w:rsid w:val="5D502A92"/>
    <w:rsid w:val="5DEC0CDE"/>
    <w:rsid w:val="5E204AD7"/>
    <w:rsid w:val="5E2219E6"/>
    <w:rsid w:val="5E4C6102"/>
    <w:rsid w:val="5E6D4BC0"/>
    <w:rsid w:val="5ED308EE"/>
    <w:rsid w:val="5ED707C1"/>
    <w:rsid w:val="5EE81CA5"/>
    <w:rsid w:val="5EEA5BA3"/>
    <w:rsid w:val="5F3E69CE"/>
    <w:rsid w:val="5F687EFD"/>
    <w:rsid w:val="5F902A86"/>
    <w:rsid w:val="5FE11ED3"/>
    <w:rsid w:val="6009519E"/>
    <w:rsid w:val="6025343B"/>
    <w:rsid w:val="603D2CDD"/>
    <w:rsid w:val="606D6DE0"/>
    <w:rsid w:val="60AD5F5F"/>
    <w:rsid w:val="60D525F3"/>
    <w:rsid w:val="60DB6927"/>
    <w:rsid w:val="60E30438"/>
    <w:rsid w:val="61127BCE"/>
    <w:rsid w:val="611E5441"/>
    <w:rsid w:val="612D3C7B"/>
    <w:rsid w:val="613600F8"/>
    <w:rsid w:val="617C2D8F"/>
    <w:rsid w:val="61826F89"/>
    <w:rsid w:val="62124EC9"/>
    <w:rsid w:val="62180407"/>
    <w:rsid w:val="62207064"/>
    <w:rsid w:val="622766B9"/>
    <w:rsid w:val="623E2101"/>
    <w:rsid w:val="62540353"/>
    <w:rsid w:val="62757735"/>
    <w:rsid w:val="62947A1C"/>
    <w:rsid w:val="62A109BE"/>
    <w:rsid w:val="62CD6DE1"/>
    <w:rsid w:val="62E70A4E"/>
    <w:rsid w:val="62FD4A9D"/>
    <w:rsid w:val="632C6FC4"/>
    <w:rsid w:val="634B3FF6"/>
    <w:rsid w:val="63B27919"/>
    <w:rsid w:val="63DA517F"/>
    <w:rsid w:val="64460ECC"/>
    <w:rsid w:val="644F5E22"/>
    <w:rsid w:val="64681DB1"/>
    <w:rsid w:val="64902A98"/>
    <w:rsid w:val="64960795"/>
    <w:rsid w:val="64961979"/>
    <w:rsid w:val="64D843A5"/>
    <w:rsid w:val="64E46FA4"/>
    <w:rsid w:val="64FB6FD5"/>
    <w:rsid w:val="6512731D"/>
    <w:rsid w:val="652B7ADD"/>
    <w:rsid w:val="653E277C"/>
    <w:rsid w:val="657E520F"/>
    <w:rsid w:val="66053294"/>
    <w:rsid w:val="663B46C9"/>
    <w:rsid w:val="663F30CF"/>
    <w:rsid w:val="668B2BC4"/>
    <w:rsid w:val="66F93E1B"/>
    <w:rsid w:val="672214E7"/>
    <w:rsid w:val="6728083A"/>
    <w:rsid w:val="674004DB"/>
    <w:rsid w:val="67413BF6"/>
    <w:rsid w:val="6755359A"/>
    <w:rsid w:val="67A7418D"/>
    <w:rsid w:val="67AF2BE7"/>
    <w:rsid w:val="67D27C62"/>
    <w:rsid w:val="67D67A95"/>
    <w:rsid w:val="67DF6978"/>
    <w:rsid w:val="688B44B8"/>
    <w:rsid w:val="68990128"/>
    <w:rsid w:val="68CC107E"/>
    <w:rsid w:val="68D102AF"/>
    <w:rsid w:val="694E04D2"/>
    <w:rsid w:val="695664EF"/>
    <w:rsid w:val="69653491"/>
    <w:rsid w:val="698044A5"/>
    <w:rsid w:val="69AF33F2"/>
    <w:rsid w:val="69E66B78"/>
    <w:rsid w:val="6A510F7A"/>
    <w:rsid w:val="6A7259EE"/>
    <w:rsid w:val="6AA604D9"/>
    <w:rsid w:val="6AA67E64"/>
    <w:rsid w:val="6AEB6209"/>
    <w:rsid w:val="6AF21A55"/>
    <w:rsid w:val="6B0D712F"/>
    <w:rsid w:val="6B28575B"/>
    <w:rsid w:val="6B472B04"/>
    <w:rsid w:val="6B827ED3"/>
    <w:rsid w:val="6BD66216"/>
    <w:rsid w:val="6BE4485D"/>
    <w:rsid w:val="6BFE3795"/>
    <w:rsid w:val="6C1E113E"/>
    <w:rsid w:val="6C2E7C06"/>
    <w:rsid w:val="6C3346CE"/>
    <w:rsid w:val="6C3A1127"/>
    <w:rsid w:val="6C3B11AE"/>
    <w:rsid w:val="6C3B431E"/>
    <w:rsid w:val="6C4A4ABA"/>
    <w:rsid w:val="6C523B19"/>
    <w:rsid w:val="6C593462"/>
    <w:rsid w:val="6C857DA8"/>
    <w:rsid w:val="6CC1587C"/>
    <w:rsid w:val="6CFE0842"/>
    <w:rsid w:val="6D1A3941"/>
    <w:rsid w:val="6D266267"/>
    <w:rsid w:val="6D2B74AA"/>
    <w:rsid w:val="6D697BC3"/>
    <w:rsid w:val="6D7111BC"/>
    <w:rsid w:val="6DBF311C"/>
    <w:rsid w:val="6DCA5CB9"/>
    <w:rsid w:val="6DFB10AF"/>
    <w:rsid w:val="6E08583A"/>
    <w:rsid w:val="6E280F38"/>
    <w:rsid w:val="6E5408E4"/>
    <w:rsid w:val="6E5C28C7"/>
    <w:rsid w:val="6E872AE9"/>
    <w:rsid w:val="6E8A21F7"/>
    <w:rsid w:val="6ECB7942"/>
    <w:rsid w:val="6EFC69C0"/>
    <w:rsid w:val="6F000F0B"/>
    <w:rsid w:val="6F024B82"/>
    <w:rsid w:val="6F197436"/>
    <w:rsid w:val="6F2867BD"/>
    <w:rsid w:val="6F44559B"/>
    <w:rsid w:val="6F667C11"/>
    <w:rsid w:val="70115BE8"/>
    <w:rsid w:val="703A2630"/>
    <w:rsid w:val="70561E49"/>
    <w:rsid w:val="709C594C"/>
    <w:rsid w:val="70C723A5"/>
    <w:rsid w:val="71047CD7"/>
    <w:rsid w:val="71D0045B"/>
    <w:rsid w:val="71D05F49"/>
    <w:rsid w:val="71F773F9"/>
    <w:rsid w:val="720F4381"/>
    <w:rsid w:val="72110CF5"/>
    <w:rsid w:val="725E4C39"/>
    <w:rsid w:val="72C37927"/>
    <w:rsid w:val="72D92B77"/>
    <w:rsid w:val="73090FE2"/>
    <w:rsid w:val="73265607"/>
    <w:rsid w:val="733512A4"/>
    <w:rsid w:val="73522B35"/>
    <w:rsid w:val="73714E70"/>
    <w:rsid w:val="737D35DF"/>
    <w:rsid w:val="7399271A"/>
    <w:rsid w:val="73CA76A4"/>
    <w:rsid w:val="73EC173C"/>
    <w:rsid w:val="73F82EA2"/>
    <w:rsid w:val="7435596C"/>
    <w:rsid w:val="74412603"/>
    <w:rsid w:val="7454328B"/>
    <w:rsid w:val="74722C9A"/>
    <w:rsid w:val="747E452E"/>
    <w:rsid w:val="74880357"/>
    <w:rsid w:val="74A647DF"/>
    <w:rsid w:val="74FA5A4A"/>
    <w:rsid w:val="751A36A3"/>
    <w:rsid w:val="754B57C9"/>
    <w:rsid w:val="755F161D"/>
    <w:rsid w:val="75884210"/>
    <w:rsid w:val="75944E94"/>
    <w:rsid w:val="75BD4A84"/>
    <w:rsid w:val="75EA7003"/>
    <w:rsid w:val="760D56E2"/>
    <w:rsid w:val="76A740B5"/>
    <w:rsid w:val="76EE218C"/>
    <w:rsid w:val="771D0044"/>
    <w:rsid w:val="772E0B03"/>
    <w:rsid w:val="77397F47"/>
    <w:rsid w:val="773C532B"/>
    <w:rsid w:val="77552F6F"/>
    <w:rsid w:val="77642276"/>
    <w:rsid w:val="778A542A"/>
    <w:rsid w:val="77BE43F7"/>
    <w:rsid w:val="77C177F8"/>
    <w:rsid w:val="77DB3F30"/>
    <w:rsid w:val="77EF5E51"/>
    <w:rsid w:val="78685093"/>
    <w:rsid w:val="789A3CEC"/>
    <w:rsid w:val="78C2063C"/>
    <w:rsid w:val="78E87E56"/>
    <w:rsid w:val="79315D64"/>
    <w:rsid w:val="79332F0B"/>
    <w:rsid w:val="796923D7"/>
    <w:rsid w:val="79C11BD2"/>
    <w:rsid w:val="79E8078D"/>
    <w:rsid w:val="79FD7CEF"/>
    <w:rsid w:val="7A3422EE"/>
    <w:rsid w:val="7A4774F3"/>
    <w:rsid w:val="7AA33336"/>
    <w:rsid w:val="7AA678C6"/>
    <w:rsid w:val="7B016CDB"/>
    <w:rsid w:val="7B113087"/>
    <w:rsid w:val="7B230F9F"/>
    <w:rsid w:val="7B4925CA"/>
    <w:rsid w:val="7B5441DD"/>
    <w:rsid w:val="7B82355E"/>
    <w:rsid w:val="7B86249B"/>
    <w:rsid w:val="7B9D3F28"/>
    <w:rsid w:val="7B9E2E7D"/>
    <w:rsid w:val="7BA5186C"/>
    <w:rsid w:val="7BB92BA6"/>
    <w:rsid w:val="7BBC519D"/>
    <w:rsid w:val="7BDA2FE2"/>
    <w:rsid w:val="7BEA35A6"/>
    <w:rsid w:val="7BEB3AA1"/>
    <w:rsid w:val="7C050B07"/>
    <w:rsid w:val="7C33238E"/>
    <w:rsid w:val="7C9E7A01"/>
    <w:rsid w:val="7CE426F4"/>
    <w:rsid w:val="7D2E186E"/>
    <w:rsid w:val="7D505FEA"/>
    <w:rsid w:val="7D7D6280"/>
    <w:rsid w:val="7D8F4D8B"/>
    <w:rsid w:val="7DBA4407"/>
    <w:rsid w:val="7DC977E9"/>
    <w:rsid w:val="7DD14D63"/>
    <w:rsid w:val="7DE2201F"/>
    <w:rsid w:val="7E04089A"/>
    <w:rsid w:val="7E0773D0"/>
    <w:rsid w:val="7E256583"/>
    <w:rsid w:val="7E4577B8"/>
    <w:rsid w:val="7E5B40FE"/>
    <w:rsid w:val="7E5D66DD"/>
    <w:rsid w:val="7E734104"/>
    <w:rsid w:val="7E7C3173"/>
    <w:rsid w:val="7EBC71A1"/>
    <w:rsid w:val="7EEE5FCC"/>
    <w:rsid w:val="7EFB4946"/>
    <w:rsid w:val="7F2E279D"/>
    <w:rsid w:val="7F5F09C9"/>
    <w:rsid w:val="7F5F5BF2"/>
    <w:rsid w:val="7F60044C"/>
    <w:rsid w:val="7F6A3397"/>
    <w:rsid w:val="7F7054DF"/>
    <w:rsid w:val="7F724CCB"/>
    <w:rsid w:val="7F8044A4"/>
    <w:rsid w:val="7F88016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2</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2025-03-28T06:24:40Z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6DB82F01D3694D758687EFE39CAD2BF2</vt:lpwstr>
  </property>
</Properties>
</file>